
<file path=[Content_Types].xml><?xml version="1.0" encoding="utf-8"?>
<Types xmlns="http://schemas.openxmlformats.org/package/2006/content-types">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F4A0B" w14:textId="026320A2" w:rsidR="00AA7E57" w:rsidRPr="00DB2B89" w:rsidRDefault="00AA7E57" w:rsidP="00396F6F">
      <w:pPr>
        <w:spacing w:after="0" w:line="360" w:lineRule="auto"/>
        <w:rPr>
          <w:rFonts w:ascii="Times New Roman" w:hAnsi="Times New Roman" w:cs="Times New Roman"/>
        </w:rPr>
      </w:pPr>
      <w:r w:rsidRPr="00DB2B89">
        <w:tab/>
      </w:r>
      <w:r w:rsidRPr="00DB2B89">
        <w:tab/>
      </w:r>
      <w:r w:rsidRPr="00DB2B89">
        <w:tab/>
      </w:r>
      <w:r w:rsidRPr="00DB2B89">
        <w:tab/>
      </w:r>
      <w:r w:rsidRPr="00DB2B89">
        <w:tab/>
      </w:r>
      <w:r w:rsidRPr="00DB2B89">
        <w:tab/>
      </w:r>
      <w:r w:rsidRPr="00DB2B89">
        <w:tab/>
      </w:r>
    </w:p>
    <w:p w14:paraId="3658351B" w14:textId="77777777" w:rsidR="00E031D0" w:rsidRDefault="00186875" w:rsidP="00396F6F">
      <w:pPr>
        <w:spacing w:after="0" w:line="360" w:lineRule="auto"/>
        <w:jc w:val="center"/>
        <w:rPr>
          <w:rFonts w:ascii="Times New Roman" w:hAnsi="Times New Roman" w:cs="Times New Roman"/>
          <w:b/>
          <w:sz w:val="28"/>
          <w:szCs w:val="28"/>
        </w:rPr>
      </w:pPr>
      <w:r w:rsidRPr="00DB2B89">
        <w:rPr>
          <w:rFonts w:ascii="Times New Roman" w:hAnsi="Times New Roman" w:cs="Times New Roman"/>
          <w:b/>
          <w:sz w:val="28"/>
          <w:szCs w:val="28"/>
        </w:rPr>
        <w:t>Objaśnienia</w:t>
      </w:r>
      <w:r w:rsidR="00AA7E57" w:rsidRPr="00DB2B89">
        <w:rPr>
          <w:rFonts w:ascii="Times New Roman" w:hAnsi="Times New Roman" w:cs="Times New Roman"/>
          <w:b/>
          <w:sz w:val="28"/>
          <w:szCs w:val="28"/>
        </w:rPr>
        <w:t xml:space="preserve"> do Wielolet</w:t>
      </w:r>
      <w:r w:rsidR="00485C33" w:rsidRPr="00DB2B89">
        <w:rPr>
          <w:rFonts w:ascii="Times New Roman" w:hAnsi="Times New Roman" w:cs="Times New Roman"/>
          <w:b/>
          <w:sz w:val="28"/>
          <w:szCs w:val="28"/>
        </w:rPr>
        <w:t>niej Prognozy Finansowej</w:t>
      </w:r>
    </w:p>
    <w:p w14:paraId="70FA0D9E" w14:textId="350F9A0E" w:rsidR="00AA7E57" w:rsidRPr="00DB2B89" w:rsidRDefault="00485C33" w:rsidP="00396F6F">
      <w:pPr>
        <w:spacing w:after="0" w:line="360" w:lineRule="auto"/>
        <w:jc w:val="center"/>
        <w:rPr>
          <w:rFonts w:ascii="Times New Roman" w:hAnsi="Times New Roman" w:cs="Times New Roman"/>
          <w:b/>
          <w:sz w:val="28"/>
          <w:szCs w:val="28"/>
        </w:rPr>
      </w:pPr>
      <w:r w:rsidRPr="00DB2B89">
        <w:rPr>
          <w:rFonts w:ascii="Times New Roman" w:hAnsi="Times New Roman" w:cs="Times New Roman"/>
          <w:b/>
          <w:sz w:val="28"/>
          <w:szCs w:val="28"/>
        </w:rPr>
        <w:t>Gminy</w:t>
      </w:r>
      <w:r w:rsidR="004C1632">
        <w:rPr>
          <w:rFonts w:ascii="Times New Roman" w:hAnsi="Times New Roman" w:cs="Times New Roman"/>
          <w:b/>
          <w:sz w:val="28"/>
          <w:szCs w:val="28"/>
        </w:rPr>
        <w:t>-</w:t>
      </w:r>
      <w:r w:rsidRPr="00DB2B89">
        <w:rPr>
          <w:rFonts w:ascii="Times New Roman" w:hAnsi="Times New Roman" w:cs="Times New Roman"/>
          <w:b/>
          <w:sz w:val="28"/>
          <w:szCs w:val="28"/>
        </w:rPr>
        <w:t>M</w:t>
      </w:r>
      <w:r w:rsidR="00AA7E57" w:rsidRPr="00DB2B89">
        <w:rPr>
          <w:rFonts w:ascii="Times New Roman" w:hAnsi="Times New Roman" w:cs="Times New Roman"/>
          <w:b/>
          <w:sz w:val="28"/>
          <w:szCs w:val="28"/>
        </w:rPr>
        <w:t>iasto Działdowo na lata 20</w:t>
      </w:r>
      <w:r w:rsidR="00AA6961">
        <w:rPr>
          <w:rFonts w:ascii="Times New Roman" w:hAnsi="Times New Roman" w:cs="Times New Roman"/>
          <w:b/>
          <w:sz w:val="28"/>
          <w:szCs w:val="28"/>
        </w:rPr>
        <w:t>2</w:t>
      </w:r>
      <w:r w:rsidR="00D80B09">
        <w:rPr>
          <w:rFonts w:ascii="Times New Roman" w:hAnsi="Times New Roman" w:cs="Times New Roman"/>
          <w:b/>
          <w:sz w:val="28"/>
          <w:szCs w:val="28"/>
        </w:rPr>
        <w:t>4</w:t>
      </w:r>
      <w:r w:rsidR="00AA7E57" w:rsidRPr="00DB2B89">
        <w:rPr>
          <w:rFonts w:ascii="Times New Roman" w:hAnsi="Times New Roman" w:cs="Times New Roman"/>
          <w:b/>
          <w:sz w:val="28"/>
          <w:szCs w:val="28"/>
        </w:rPr>
        <w:t>-20</w:t>
      </w:r>
      <w:r w:rsidR="00AA6961">
        <w:rPr>
          <w:rFonts w:ascii="Times New Roman" w:hAnsi="Times New Roman" w:cs="Times New Roman"/>
          <w:b/>
          <w:sz w:val="28"/>
          <w:szCs w:val="28"/>
        </w:rPr>
        <w:t>30</w:t>
      </w:r>
    </w:p>
    <w:p w14:paraId="43E96B2C" w14:textId="77777777" w:rsidR="00AA7E57" w:rsidRPr="00DB2B89" w:rsidRDefault="00AA7E57" w:rsidP="00396F6F">
      <w:pPr>
        <w:spacing w:after="0" w:line="360" w:lineRule="auto"/>
        <w:jc w:val="both"/>
        <w:rPr>
          <w:rFonts w:ascii="Times New Roman" w:hAnsi="Times New Roman" w:cs="Times New Roman"/>
        </w:rPr>
      </w:pPr>
    </w:p>
    <w:p w14:paraId="6CC14BBA" w14:textId="77777777" w:rsidR="00AA7E57" w:rsidRPr="00DB2B89" w:rsidRDefault="00AA7E57" w:rsidP="00396F6F">
      <w:pPr>
        <w:pStyle w:val="Akapitzlist"/>
        <w:numPr>
          <w:ilvl w:val="0"/>
          <w:numId w:val="1"/>
        </w:numPr>
        <w:spacing w:after="0" w:line="360" w:lineRule="auto"/>
        <w:ind w:left="284" w:hanging="284"/>
        <w:jc w:val="both"/>
        <w:rPr>
          <w:rFonts w:ascii="Times New Roman" w:hAnsi="Times New Roman" w:cs="Times New Roman"/>
          <w:b/>
          <w:sz w:val="24"/>
        </w:rPr>
      </w:pPr>
      <w:r w:rsidRPr="00DB2B89">
        <w:rPr>
          <w:rFonts w:ascii="Times New Roman" w:hAnsi="Times New Roman" w:cs="Times New Roman"/>
          <w:b/>
          <w:sz w:val="24"/>
        </w:rPr>
        <w:t>Założenia wstępne</w:t>
      </w:r>
    </w:p>
    <w:p w14:paraId="1EC219AD" w14:textId="596061BD" w:rsidR="005147BE" w:rsidRDefault="006125D9" w:rsidP="0096497C">
      <w:pPr>
        <w:spacing w:after="0" w:line="360" w:lineRule="auto"/>
        <w:ind w:firstLine="284"/>
        <w:jc w:val="both"/>
        <w:rPr>
          <w:rFonts w:ascii="Times New Roman" w:hAnsi="Times New Roman" w:cs="Times New Roman"/>
          <w:sz w:val="24"/>
          <w:szCs w:val="24"/>
        </w:rPr>
      </w:pPr>
      <w:r w:rsidRPr="009F507F">
        <w:rPr>
          <w:rFonts w:ascii="Times New Roman" w:hAnsi="Times New Roman" w:cs="Times New Roman"/>
          <w:sz w:val="24"/>
          <w:szCs w:val="24"/>
        </w:rPr>
        <w:t>Wieloletnia Prognoza F</w:t>
      </w:r>
      <w:r w:rsidR="00AA7E57" w:rsidRPr="009F507F">
        <w:rPr>
          <w:rFonts w:ascii="Times New Roman" w:hAnsi="Times New Roman" w:cs="Times New Roman"/>
          <w:sz w:val="24"/>
          <w:szCs w:val="24"/>
        </w:rPr>
        <w:t>inansowa Gminy</w:t>
      </w:r>
      <w:r w:rsidRPr="009F507F">
        <w:rPr>
          <w:rFonts w:ascii="Times New Roman" w:hAnsi="Times New Roman" w:cs="Times New Roman"/>
          <w:sz w:val="24"/>
          <w:szCs w:val="24"/>
        </w:rPr>
        <w:t>-</w:t>
      </w:r>
      <w:r w:rsidR="00AA7E57" w:rsidRPr="009F507F">
        <w:rPr>
          <w:rFonts w:ascii="Times New Roman" w:hAnsi="Times New Roman" w:cs="Times New Roman"/>
          <w:sz w:val="24"/>
          <w:szCs w:val="24"/>
        </w:rPr>
        <w:t>Miasto Działdowo została</w:t>
      </w:r>
      <w:r w:rsidR="005147BE" w:rsidRPr="009F507F">
        <w:rPr>
          <w:rFonts w:ascii="Times New Roman" w:hAnsi="Times New Roman" w:cs="Times New Roman"/>
          <w:sz w:val="24"/>
          <w:szCs w:val="24"/>
        </w:rPr>
        <w:t xml:space="preserve"> sporządzona</w:t>
      </w:r>
      <w:r w:rsidR="00AA7E57" w:rsidRPr="009F507F">
        <w:rPr>
          <w:rFonts w:ascii="Times New Roman" w:hAnsi="Times New Roman" w:cs="Times New Roman"/>
          <w:sz w:val="24"/>
          <w:szCs w:val="24"/>
        </w:rPr>
        <w:t xml:space="preserve"> na lata </w:t>
      </w:r>
      <w:r w:rsidR="005147BE" w:rsidRPr="009F507F">
        <w:rPr>
          <w:rFonts w:ascii="Times New Roman" w:hAnsi="Times New Roman" w:cs="Times New Roman"/>
          <w:sz w:val="24"/>
          <w:szCs w:val="24"/>
        </w:rPr>
        <w:t xml:space="preserve">            </w:t>
      </w:r>
      <w:r w:rsidR="00AA7E57" w:rsidRPr="009F507F">
        <w:rPr>
          <w:rFonts w:ascii="Times New Roman" w:hAnsi="Times New Roman" w:cs="Times New Roman"/>
          <w:sz w:val="24"/>
          <w:szCs w:val="24"/>
        </w:rPr>
        <w:t>20</w:t>
      </w:r>
      <w:r w:rsidR="00AA6961">
        <w:rPr>
          <w:rFonts w:ascii="Times New Roman" w:hAnsi="Times New Roman" w:cs="Times New Roman"/>
          <w:sz w:val="24"/>
          <w:szCs w:val="24"/>
        </w:rPr>
        <w:t>2</w:t>
      </w:r>
      <w:r w:rsidR="00D80B09">
        <w:rPr>
          <w:rFonts w:ascii="Times New Roman" w:hAnsi="Times New Roman" w:cs="Times New Roman"/>
          <w:sz w:val="24"/>
          <w:szCs w:val="24"/>
        </w:rPr>
        <w:t>4</w:t>
      </w:r>
      <w:r w:rsidR="00AA7E57" w:rsidRPr="009F507F">
        <w:rPr>
          <w:rFonts w:ascii="Times New Roman" w:hAnsi="Times New Roman" w:cs="Times New Roman"/>
          <w:sz w:val="24"/>
          <w:szCs w:val="24"/>
        </w:rPr>
        <w:t>-20</w:t>
      </w:r>
      <w:r w:rsidR="00AA6961">
        <w:rPr>
          <w:rFonts w:ascii="Times New Roman" w:hAnsi="Times New Roman" w:cs="Times New Roman"/>
          <w:sz w:val="24"/>
          <w:szCs w:val="24"/>
        </w:rPr>
        <w:t>30</w:t>
      </w:r>
      <w:r w:rsidR="004F2C84">
        <w:rPr>
          <w:rFonts w:ascii="Times New Roman" w:hAnsi="Times New Roman" w:cs="Times New Roman"/>
          <w:sz w:val="24"/>
          <w:szCs w:val="24"/>
        </w:rPr>
        <w:t>. Podstaw</w:t>
      </w:r>
      <w:r w:rsidR="00A7713C">
        <w:rPr>
          <w:rFonts w:ascii="Times New Roman" w:hAnsi="Times New Roman" w:cs="Times New Roman"/>
          <w:sz w:val="24"/>
          <w:szCs w:val="24"/>
        </w:rPr>
        <w:t>ową</w:t>
      </w:r>
      <w:r w:rsidR="004F2C84">
        <w:rPr>
          <w:rFonts w:ascii="Times New Roman" w:hAnsi="Times New Roman" w:cs="Times New Roman"/>
          <w:sz w:val="24"/>
          <w:szCs w:val="24"/>
        </w:rPr>
        <w:t xml:space="preserve"> </w:t>
      </w:r>
      <w:r w:rsidR="00B105C3">
        <w:rPr>
          <w:rFonts w:ascii="Times New Roman" w:hAnsi="Times New Roman" w:cs="Times New Roman"/>
          <w:sz w:val="24"/>
          <w:szCs w:val="24"/>
        </w:rPr>
        <w:t xml:space="preserve">zasadą </w:t>
      </w:r>
      <w:r w:rsidR="004F2C84">
        <w:rPr>
          <w:rFonts w:ascii="Times New Roman" w:hAnsi="Times New Roman" w:cs="Times New Roman"/>
          <w:sz w:val="24"/>
          <w:szCs w:val="24"/>
        </w:rPr>
        <w:t>opracowani</w:t>
      </w:r>
      <w:r w:rsidR="00E55066">
        <w:rPr>
          <w:rFonts w:ascii="Times New Roman" w:hAnsi="Times New Roman" w:cs="Times New Roman"/>
          <w:sz w:val="24"/>
          <w:szCs w:val="24"/>
        </w:rPr>
        <w:t>a</w:t>
      </w:r>
      <w:r w:rsidR="004F2C84">
        <w:rPr>
          <w:rFonts w:ascii="Times New Roman" w:hAnsi="Times New Roman" w:cs="Times New Roman"/>
          <w:sz w:val="24"/>
          <w:szCs w:val="24"/>
        </w:rPr>
        <w:t xml:space="preserve"> Wieloletniej Prognozy Finansowej dla Gminy-</w:t>
      </w:r>
      <w:r w:rsidR="00063B43">
        <w:rPr>
          <w:rFonts w:ascii="Times New Roman" w:hAnsi="Times New Roman" w:cs="Times New Roman"/>
          <w:sz w:val="24"/>
          <w:szCs w:val="24"/>
        </w:rPr>
        <w:t>M</w:t>
      </w:r>
      <w:r w:rsidR="004F2C84">
        <w:rPr>
          <w:rFonts w:ascii="Times New Roman" w:hAnsi="Times New Roman" w:cs="Times New Roman"/>
          <w:sz w:val="24"/>
          <w:szCs w:val="24"/>
        </w:rPr>
        <w:t>iasto Działdowo jest</w:t>
      </w:r>
      <w:r w:rsidR="007811A3">
        <w:rPr>
          <w:rFonts w:ascii="Times New Roman" w:hAnsi="Times New Roman" w:cs="Times New Roman"/>
          <w:sz w:val="24"/>
          <w:szCs w:val="24"/>
        </w:rPr>
        <w:t xml:space="preserve"> </w:t>
      </w:r>
      <w:r w:rsidR="00B105C3">
        <w:rPr>
          <w:rFonts w:ascii="Times New Roman" w:hAnsi="Times New Roman" w:cs="Times New Roman"/>
          <w:sz w:val="24"/>
          <w:szCs w:val="24"/>
        </w:rPr>
        <w:t xml:space="preserve">jej zgodność z </w:t>
      </w:r>
      <w:r w:rsidR="004F2C84">
        <w:rPr>
          <w:rFonts w:ascii="Times New Roman" w:hAnsi="Times New Roman" w:cs="Times New Roman"/>
          <w:sz w:val="24"/>
          <w:szCs w:val="24"/>
        </w:rPr>
        <w:t>projekt</w:t>
      </w:r>
      <w:r w:rsidR="00B105C3">
        <w:rPr>
          <w:rFonts w:ascii="Times New Roman" w:hAnsi="Times New Roman" w:cs="Times New Roman"/>
          <w:sz w:val="24"/>
          <w:szCs w:val="24"/>
        </w:rPr>
        <w:t>em</w:t>
      </w:r>
      <w:r w:rsidR="004F2C84">
        <w:rPr>
          <w:rFonts w:ascii="Times New Roman" w:hAnsi="Times New Roman" w:cs="Times New Roman"/>
          <w:sz w:val="24"/>
          <w:szCs w:val="24"/>
        </w:rPr>
        <w:t xml:space="preserve"> uchwały budżetowej na rok 202</w:t>
      </w:r>
      <w:r w:rsidR="00D80B09">
        <w:rPr>
          <w:rFonts w:ascii="Times New Roman" w:hAnsi="Times New Roman" w:cs="Times New Roman"/>
          <w:sz w:val="24"/>
          <w:szCs w:val="24"/>
        </w:rPr>
        <w:t>4</w:t>
      </w:r>
      <w:r w:rsidR="004F2C84">
        <w:rPr>
          <w:rFonts w:ascii="Times New Roman" w:hAnsi="Times New Roman" w:cs="Times New Roman"/>
          <w:sz w:val="24"/>
          <w:szCs w:val="24"/>
        </w:rPr>
        <w:t>, dane wynikające ze sprawozdań</w:t>
      </w:r>
      <w:r w:rsidR="009F7C9A">
        <w:rPr>
          <w:rFonts w:ascii="Times New Roman" w:hAnsi="Times New Roman" w:cs="Times New Roman"/>
          <w:sz w:val="24"/>
          <w:szCs w:val="24"/>
        </w:rPr>
        <w:t xml:space="preserve"> </w:t>
      </w:r>
      <w:r w:rsidR="004F2C84">
        <w:rPr>
          <w:rFonts w:ascii="Times New Roman" w:hAnsi="Times New Roman" w:cs="Times New Roman"/>
          <w:sz w:val="24"/>
          <w:szCs w:val="24"/>
        </w:rPr>
        <w:t>z wykonania budżetu Gminy-Miasto Działdowo</w:t>
      </w:r>
      <w:r w:rsidR="00063B43">
        <w:rPr>
          <w:rFonts w:ascii="Times New Roman" w:hAnsi="Times New Roman" w:cs="Times New Roman"/>
          <w:sz w:val="24"/>
          <w:szCs w:val="24"/>
        </w:rPr>
        <w:t xml:space="preserve"> oraz </w:t>
      </w:r>
      <w:r w:rsidR="0009592C">
        <w:rPr>
          <w:rFonts w:ascii="Times New Roman" w:hAnsi="Times New Roman" w:cs="Times New Roman"/>
          <w:sz w:val="24"/>
          <w:szCs w:val="24"/>
        </w:rPr>
        <w:t xml:space="preserve">wytycznych Ministra Finansów dotyczące stosowania jednolitych wskaźników makroekonomicznych będących podstawą oszacowania skutków finansowych projektowanych ustaw (aktualizacja – październik 2023) </w:t>
      </w:r>
      <w:r w:rsidR="000312CA">
        <w:rPr>
          <w:rFonts w:ascii="Times New Roman" w:hAnsi="Times New Roman" w:cs="Times New Roman"/>
          <w:sz w:val="24"/>
          <w:szCs w:val="24"/>
        </w:rPr>
        <w:t xml:space="preserve">oraz </w:t>
      </w:r>
      <w:r w:rsidR="00A7713C">
        <w:rPr>
          <w:rFonts w:ascii="Times New Roman" w:hAnsi="Times New Roman" w:cs="Times New Roman"/>
          <w:sz w:val="24"/>
          <w:szCs w:val="24"/>
        </w:rPr>
        <w:t>z metodologią opracowania Wieloletniej Prognozy Finansowej jednostki samorządu terytorialnego opracowanej przez Ministerstwo Finansów (aktualizacj</w:t>
      </w:r>
      <w:r w:rsidR="008D1E4C">
        <w:rPr>
          <w:rFonts w:ascii="Times New Roman" w:hAnsi="Times New Roman" w:cs="Times New Roman"/>
          <w:sz w:val="24"/>
          <w:szCs w:val="24"/>
        </w:rPr>
        <w:t>a</w:t>
      </w:r>
      <w:r w:rsidR="00A7713C">
        <w:rPr>
          <w:rFonts w:ascii="Times New Roman" w:hAnsi="Times New Roman" w:cs="Times New Roman"/>
          <w:sz w:val="24"/>
          <w:szCs w:val="24"/>
        </w:rPr>
        <w:t xml:space="preserve"> październik 2022)</w:t>
      </w:r>
      <w:r w:rsidR="000312CA">
        <w:rPr>
          <w:rFonts w:ascii="Times New Roman" w:hAnsi="Times New Roman" w:cs="Times New Roman"/>
          <w:sz w:val="24"/>
          <w:szCs w:val="24"/>
        </w:rPr>
        <w:t>.</w:t>
      </w:r>
      <w:r w:rsidR="00A7713C">
        <w:rPr>
          <w:rFonts w:ascii="Times New Roman" w:hAnsi="Times New Roman" w:cs="Times New Roman"/>
          <w:sz w:val="24"/>
          <w:szCs w:val="24"/>
        </w:rPr>
        <w:t xml:space="preserve"> </w:t>
      </w:r>
      <w:r w:rsidR="004F2C84">
        <w:rPr>
          <w:rFonts w:ascii="Times New Roman" w:hAnsi="Times New Roman" w:cs="Times New Roman"/>
          <w:sz w:val="24"/>
          <w:szCs w:val="24"/>
        </w:rPr>
        <w:t>Art. 227 ust. 1 ustawy z dnia 27 sierpnia 2009 roku o finansach publicznych (</w:t>
      </w:r>
      <w:proofErr w:type="spellStart"/>
      <w:r w:rsidR="004F2C84" w:rsidRPr="0013282C">
        <w:rPr>
          <w:rFonts w:ascii="Times New Roman" w:hAnsi="Times New Roman" w:cs="Times New Roman"/>
          <w:sz w:val="24"/>
          <w:szCs w:val="24"/>
        </w:rPr>
        <w:t>t.j</w:t>
      </w:r>
      <w:proofErr w:type="spellEnd"/>
      <w:r w:rsidR="00282482" w:rsidRPr="0013282C">
        <w:rPr>
          <w:rFonts w:ascii="Times New Roman" w:hAnsi="Times New Roman" w:cs="Times New Roman"/>
          <w:sz w:val="24"/>
          <w:szCs w:val="24"/>
        </w:rPr>
        <w:t xml:space="preserve">. </w:t>
      </w:r>
      <w:r w:rsidR="00282482" w:rsidRPr="0009592C">
        <w:rPr>
          <w:rFonts w:ascii="Times New Roman" w:hAnsi="Times New Roman" w:cs="Times New Roman"/>
          <w:sz w:val="24"/>
          <w:szCs w:val="24"/>
        </w:rPr>
        <w:t>Dz.U. z 202</w:t>
      </w:r>
      <w:r w:rsidR="0009592C" w:rsidRPr="0009592C">
        <w:rPr>
          <w:rFonts w:ascii="Times New Roman" w:hAnsi="Times New Roman" w:cs="Times New Roman"/>
          <w:sz w:val="24"/>
          <w:szCs w:val="24"/>
        </w:rPr>
        <w:t>3</w:t>
      </w:r>
      <w:r w:rsidR="00282482" w:rsidRPr="0009592C">
        <w:rPr>
          <w:rFonts w:ascii="Times New Roman" w:hAnsi="Times New Roman" w:cs="Times New Roman"/>
          <w:sz w:val="24"/>
          <w:szCs w:val="24"/>
        </w:rPr>
        <w:t xml:space="preserve"> poz.</w:t>
      </w:r>
      <w:r w:rsidR="0009592C" w:rsidRPr="0009592C">
        <w:rPr>
          <w:rFonts w:ascii="Times New Roman" w:hAnsi="Times New Roman" w:cs="Times New Roman"/>
          <w:sz w:val="24"/>
          <w:szCs w:val="24"/>
        </w:rPr>
        <w:t>1270</w:t>
      </w:r>
      <w:r w:rsidR="00282482" w:rsidRPr="0009592C">
        <w:rPr>
          <w:rFonts w:ascii="Times New Roman" w:hAnsi="Times New Roman" w:cs="Times New Roman"/>
          <w:sz w:val="24"/>
          <w:szCs w:val="24"/>
        </w:rPr>
        <w:t xml:space="preserve"> z poźn.zm.)</w:t>
      </w:r>
      <w:r w:rsidR="00282482">
        <w:rPr>
          <w:rFonts w:ascii="Times New Roman" w:hAnsi="Times New Roman" w:cs="Times New Roman"/>
          <w:sz w:val="24"/>
          <w:szCs w:val="24"/>
        </w:rPr>
        <w:t xml:space="preserve"> </w:t>
      </w:r>
      <w:r w:rsidR="004F2C84">
        <w:rPr>
          <w:rFonts w:ascii="Times New Roman" w:hAnsi="Times New Roman" w:cs="Times New Roman"/>
          <w:sz w:val="24"/>
          <w:szCs w:val="24"/>
        </w:rPr>
        <w:t xml:space="preserve">zakłada, iż wieloletnia prognoza finansowa obejmuje okres roku budżetowego oraz co najmniej 3 kolejnych lat budżetowych. </w:t>
      </w:r>
      <w:r w:rsidR="00AC0245">
        <w:rPr>
          <w:rFonts w:ascii="Times New Roman" w:hAnsi="Times New Roman" w:cs="Times New Roman"/>
          <w:sz w:val="24"/>
          <w:szCs w:val="24"/>
        </w:rPr>
        <w:t xml:space="preserve">  </w:t>
      </w:r>
      <w:r w:rsidR="0096497C">
        <w:rPr>
          <w:rFonts w:ascii="Times New Roman" w:hAnsi="Times New Roman" w:cs="Times New Roman"/>
          <w:sz w:val="24"/>
          <w:szCs w:val="24"/>
        </w:rPr>
        <w:t xml:space="preserve">Z ust. 2 powołanego artkułu wynika, iż prognozę kwoty długu, stanowiącą integralną część wieloletniej prognozy finansowej, sporządza się na okres, na który zaciągnięto lub planuje się zaciągnąć zobowiązanie. Dla Gminy Miasto –Działdowo na dzień </w:t>
      </w:r>
      <w:r w:rsidR="00B105C3">
        <w:rPr>
          <w:rFonts w:ascii="Times New Roman" w:hAnsi="Times New Roman" w:cs="Times New Roman"/>
          <w:sz w:val="24"/>
          <w:szCs w:val="24"/>
        </w:rPr>
        <w:t>sporządzenia projektu</w:t>
      </w:r>
      <w:r w:rsidR="0096497C">
        <w:rPr>
          <w:rFonts w:ascii="Times New Roman" w:hAnsi="Times New Roman" w:cs="Times New Roman"/>
          <w:sz w:val="24"/>
          <w:szCs w:val="24"/>
        </w:rPr>
        <w:t xml:space="preserve"> uchwały okres ten obejmuje lata 2024-20</w:t>
      </w:r>
      <w:r w:rsidR="00B105C3">
        <w:rPr>
          <w:rFonts w:ascii="Times New Roman" w:hAnsi="Times New Roman" w:cs="Times New Roman"/>
          <w:sz w:val="24"/>
          <w:szCs w:val="24"/>
        </w:rPr>
        <w:t>30</w:t>
      </w:r>
      <w:r w:rsidR="0096497C">
        <w:rPr>
          <w:rFonts w:ascii="Times New Roman" w:hAnsi="Times New Roman" w:cs="Times New Roman"/>
          <w:sz w:val="24"/>
          <w:szCs w:val="24"/>
        </w:rPr>
        <w:t xml:space="preserve"> </w:t>
      </w:r>
      <w:r w:rsidR="005147BE" w:rsidRPr="009F507F">
        <w:rPr>
          <w:rFonts w:ascii="Times New Roman" w:hAnsi="Times New Roman" w:cs="Times New Roman"/>
          <w:sz w:val="24"/>
          <w:szCs w:val="24"/>
        </w:rPr>
        <w:t>i wynika</w:t>
      </w:r>
      <w:r w:rsidR="0009592C">
        <w:rPr>
          <w:rFonts w:ascii="Times New Roman" w:hAnsi="Times New Roman" w:cs="Times New Roman"/>
          <w:sz w:val="24"/>
          <w:szCs w:val="24"/>
        </w:rPr>
        <w:t xml:space="preserve">  </w:t>
      </w:r>
      <w:r w:rsidR="00662C4F" w:rsidRPr="009F507F">
        <w:rPr>
          <w:rFonts w:ascii="Times New Roman" w:hAnsi="Times New Roman" w:cs="Times New Roman"/>
          <w:sz w:val="24"/>
          <w:szCs w:val="24"/>
        </w:rPr>
        <w:t>z zaciągniętych</w:t>
      </w:r>
      <w:r w:rsidR="0096497C">
        <w:rPr>
          <w:rFonts w:ascii="Times New Roman" w:hAnsi="Times New Roman" w:cs="Times New Roman"/>
          <w:sz w:val="24"/>
          <w:szCs w:val="24"/>
        </w:rPr>
        <w:t xml:space="preserve"> i </w:t>
      </w:r>
      <w:r w:rsidR="007811A3">
        <w:rPr>
          <w:rFonts w:ascii="Times New Roman" w:hAnsi="Times New Roman" w:cs="Times New Roman"/>
          <w:sz w:val="24"/>
          <w:szCs w:val="24"/>
        </w:rPr>
        <w:t xml:space="preserve">planowanych </w:t>
      </w:r>
      <w:r w:rsidR="005147BE" w:rsidRPr="009F507F">
        <w:rPr>
          <w:rFonts w:ascii="Times New Roman" w:hAnsi="Times New Roman" w:cs="Times New Roman"/>
          <w:sz w:val="24"/>
          <w:szCs w:val="24"/>
        </w:rPr>
        <w:t>zobowiązań</w:t>
      </w:r>
      <w:r w:rsidR="00DB594E">
        <w:rPr>
          <w:rFonts w:ascii="Times New Roman" w:hAnsi="Times New Roman" w:cs="Times New Roman"/>
          <w:sz w:val="24"/>
          <w:szCs w:val="24"/>
        </w:rPr>
        <w:t xml:space="preserve"> gminy, do których włączono zobowiązania EZG „</w:t>
      </w:r>
      <w:proofErr w:type="spellStart"/>
      <w:r w:rsidR="00DB594E">
        <w:rPr>
          <w:rFonts w:ascii="Times New Roman" w:hAnsi="Times New Roman" w:cs="Times New Roman"/>
          <w:sz w:val="24"/>
          <w:szCs w:val="24"/>
        </w:rPr>
        <w:t>Działdowszczyzna</w:t>
      </w:r>
      <w:proofErr w:type="spellEnd"/>
      <w:r w:rsidR="00DB594E">
        <w:rPr>
          <w:rFonts w:ascii="Times New Roman" w:hAnsi="Times New Roman" w:cs="Times New Roman"/>
          <w:sz w:val="24"/>
          <w:szCs w:val="24"/>
        </w:rPr>
        <w:t>” planowane do roku 20</w:t>
      </w:r>
      <w:r w:rsidR="00AA6961">
        <w:rPr>
          <w:rFonts w:ascii="Times New Roman" w:hAnsi="Times New Roman" w:cs="Times New Roman"/>
          <w:sz w:val="24"/>
          <w:szCs w:val="24"/>
        </w:rPr>
        <w:t>30</w:t>
      </w:r>
      <w:r w:rsidR="00DB594E">
        <w:rPr>
          <w:rFonts w:ascii="Times New Roman" w:hAnsi="Times New Roman" w:cs="Times New Roman"/>
          <w:sz w:val="24"/>
          <w:szCs w:val="24"/>
        </w:rPr>
        <w:t>.</w:t>
      </w:r>
    </w:p>
    <w:p w14:paraId="76AE47CB" w14:textId="61927C44" w:rsidR="004F2C84" w:rsidRPr="009F507F" w:rsidRDefault="004F2C84" w:rsidP="00632174">
      <w:pPr>
        <w:spacing w:after="0" w:line="360" w:lineRule="auto"/>
        <w:ind w:firstLine="284"/>
        <w:jc w:val="both"/>
        <w:rPr>
          <w:rFonts w:ascii="Times New Roman" w:hAnsi="Times New Roman" w:cs="Times New Roman"/>
          <w:sz w:val="24"/>
          <w:szCs w:val="24"/>
        </w:rPr>
      </w:pPr>
      <w:r>
        <w:rPr>
          <w:rFonts w:ascii="Times New Roman" w:hAnsi="Times New Roman" w:cs="Times New Roman"/>
          <w:sz w:val="24"/>
          <w:szCs w:val="24"/>
        </w:rPr>
        <w:t>Limity wydatków na realizację przedsięwzięć sięgają roku 202</w:t>
      </w:r>
      <w:r w:rsidR="00D80B09">
        <w:rPr>
          <w:rFonts w:ascii="Times New Roman" w:hAnsi="Times New Roman" w:cs="Times New Roman"/>
          <w:sz w:val="24"/>
          <w:szCs w:val="24"/>
        </w:rPr>
        <w:t>8</w:t>
      </w:r>
      <w:r>
        <w:rPr>
          <w:rFonts w:ascii="Times New Roman" w:hAnsi="Times New Roman" w:cs="Times New Roman"/>
          <w:sz w:val="24"/>
          <w:szCs w:val="24"/>
        </w:rPr>
        <w:t xml:space="preserve"> i nie wykracza</w:t>
      </w:r>
      <w:r w:rsidR="00E55066">
        <w:rPr>
          <w:rFonts w:ascii="Times New Roman" w:hAnsi="Times New Roman" w:cs="Times New Roman"/>
          <w:sz w:val="24"/>
          <w:szCs w:val="24"/>
        </w:rPr>
        <w:t>ją</w:t>
      </w:r>
      <w:r>
        <w:rPr>
          <w:rFonts w:ascii="Times New Roman" w:hAnsi="Times New Roman" w:cs="Times New Roman"/>
          <w:sz w:val="24"/>
          <w:szCs w:val="24"/>
        </w:rPr>
        <w:t xml:space="preserve"> poza okres prognozy długu.</w:t>
      </w:r>
    </w:p>
    <w:p w14:paraId="175FCEA7" w14:textId="675C8313" w:rsidR="00AA7E57" w:rsidRPr="009F507F" w:rsidRDefault="00E776D6" w:rsidP="00396F6F">
      <w:pPr>
        <w:spacing w:after="0" w:line="360" w:lineRule="auto"/>
        <w:jc w:val="both"/>
        <w:rPr>
          <w:rFonts w:ascii="Times New Roman" w:hAnsi="Times New Roman" w:cs="Times New Roman"/>
          <w:sz w:val="24"/>
          <w:szCs w:val="24"/>
        </w:rPr>
      </w:pPr>
      <w:r w:rsidRPr="009F507F">
        <w:rPr>
          <w:rFonts w:ascii="Times New Roman" w:hAnsi="Times New Roman" w:cs="Times New Roman"/>
          <w:sz w:val="24"/>
          <w:szCs w:val="24"/>
        </w:rPr>
        <w:t>Zakres danych wykazywanych w WPF określa art. 226 ustawy. Są to m. in.</w:t>
      </w:r>
      <w:r w:rsidR="00AA7E57" w:rsidRPr="009F507F">
        <w:rPr>
          <w:rFonts w:ascii="Times New Roman" w:hAnsi="Times New Roman" w:cs="Times New Roman"/>
          <w:sz w:val="24"/>
          <w:szCs w:val="24"/>
        </w:rPr>
        <w:t xml:space="preserve"> przewidywane dochody, wydatki</w:t>
      </w:r>
      <w:r w:rsidR="00AF10F2" w:rsidRPr="009F507F">
        <w:rPr>
          <w:rFonts w:ascii="Times New Roman" w:hAnsi="Times New Roman" w:cs="Times New Roman"/>
          <w:sz w:val="24"/>
          <w:szCs w:val="24"/>
        </w:rPr>
        <w:t xml:space="preserve"> (bieżące i majątkowe), wynik finansowy budżetu i jego przeznaczenie</w:t>
      </w:r>
      <w:r w:rsidR="005147BE" w:rsidRPr="009F507F">
        <w:rPr>
          <w:rFonts w:ascii="Times New Roman" w:hAnsi="Times New Roman" w:cs="Times New Roman"/>
          <w:sz w:val="24"/>
          <w:szCs w:val="24"/>
        </w:rPr>
        <w:t xml:space="preserve"> lub sposób sfinansowania</w:t>
      </w:r>
      <w:r w:rsidR="008D1E4C">
        <w:rPr>
          <w:rFonts w:ascii="Times New Roman" w:hAnsi="Times New Roman" w:cs="Times New Roman"/>
          <w:sz w:val="24"/>
          <w:szCs w:val="24"/>
        </w:rPr>
        <w:t xml:space="preserve"> w przypadku deficytu</w:t>
      </w:r>
      <w:r w:rsidR="00AF10F2" w:rsidRPr="009F507F">
        <w:rPr>
          <w:rFonts w:ascii="Times New Roman" w:hAnsi="Times New Roman" w:cs="Times New Roman"/>
          <w:sz w:val="24"/>
          <w:szCs w:val="24"/>
        </w:rPr>
        <w:t>, przychody i rozchody budżetu, kwotę długu gminy</w:t>
      </w:r>
      <w:r w:rsidR="005147BE" w:rsidRPr="009F507F">
        <w:rPr>
          <w:rFonts w:ascii="Times New Roman" w:hAnsi="Times New Roman" w:cs="Times New Roman"/>
          <w:sz w:val="24"/>
          <w:szCs w:val="24"/>
        </w:rPr>
        <w:t>,</w:t>
      </w:r>
      <w:r w:rsidR="00AF10F2" w:rsidRPr="009F507F">
        <w:rPr>
          <w:rFonts w:ascii="Times New Roman" w:hAnsi="Times New Roman" w:cs="Times New Roman"/>
          <w:sz w:val="24"/>
          <w:szCs w:val="24"/>
        </w:rPr>
        <w:t xml:space="preserve"> sposób sfinansowania spłaty </w:t>
      </w:r>
      <w:r w:rsidR="005147BE" w:rsidRPr="009F507F">
        <w:rPr>
          <w:rFonts w:ascii="Times New Roman" w:hAnsi="Times New Roman" w:cs="Times New Roman"/>
          <w:sz w:val="24"/>
          <w:szCs w:val="24"/>
        </w:rPr>
        <w:t xml:space="preserve">długu oraz kwoty wydatków wynikające z </w:t>
      </w:r>
      <w:r w:rsidR="00BF14C2" w:rsidRPr="009F507F">
        <w:rPr>
          <w:rFonts w:ascii="Times New Roman" w:hAnsi="Times New Roman" w:cs="Times New Roman"/>
          <w:sz w:val="24"/>
          <w:szCs w:val="24"/>
        </w:rPr>
        <w:t xml:space="preserve">limitów </w:t>
      </w:r>
      <w:r w:rsidR="005147BE" w:rsidRPr="009F507F">
        <w:rPr>
          <w:rFonts w:ascii="Times New Roman" w:hAnsi="Times New Roman" w:cs="Times New Roman"/>
          <w:sz w:val="24"/>
          <w:szCs w:val="24"/>
        </w:rPr>
        <w:t>przedsięwzięć</w:t>
      </w:r>
      <w:r w:rsidR="00AF10F2" w:rsidRPr="009F507F">
        <w:rPr>
          <w:rFonts w:ascii="Times New Roman" w:hAnsi="Times New Roman" w:cs="Times New Roman"/>
          <w:sz w:val="24"/>
          <w:szCs w:val="24"/>
        </w:rPr>
        <w:t>.</w:t>
      </w:r>
    </w:p>
    <w:p w14:paraId="5187971C" w14:textId="77777777" w:rsidR="00AA7E57" w:rsidRPr="009F507F" w:rsidRDefault="00AA7E57" w:rsidP="00396F6F">
      <w:pPr>
        <w:spacing w:after="0" w:line="360" w:lineRule="auto"/>
        <w:jc w:val="both"/>
        <w:rPr>
          <w:rFonts w:ascii="Times New Roman" w:hAnsi="Times New Roman" w:cs="Times New Roman"/>
          <w:sz w:val="24"/>
          <w:szCs w:val="24"/>
        </w:rPr>
      </w:pPr>
      <w:r w:rsidRPr="009F507F">
        <w:rPr>
          <w:rFonts w:ascii="Times New Roman" w:hAnsi="Times New Roman" w:cs="Times New Roman"/>
          <w:sz w:val="24"/>
          <w:szCs w:val="24"/>
        </w:rPr>
        <w:t>W prognozie przyjęto następujące</w:t>
      </w:r>
      <w:r w:rsidR="003E43D3" w:rsidRPr="009F507F">
        <w:rPr>
          <w:rFonts w:ascii="Times New Roman" w:hAnsi="Times New Roman" w:cs="Times New Roman"/>
          <w:sz w:val="24"/>
          <w:szCs w:val="24"/>
        </w:rPr>
        <w:t xml:space="preserve"> podstawowe</w:t>
      </w:r>
      <w:r w:rsidRPr="009F507F">
        <w:rPr>
          <w:rFonts w:ascii="Times New Roman" w:hAnsi="Times New Roman" w:cs="Times New Roman"/>
          <w:sz w:val="24"/>
          <w:szCs w:val="24"/>
        </w:rPr>
        <w:t xml:space="preserve"> założenia:</w:t>
      </w:r>
    </w:p>
    <w:p w14:paraId="59BD0116" w14:textId="0A8B9E49" w:rsidR="00AA7E57" w:rsidRPr="009F507F" w:rsidRDefault="003E43D3" w:rsidP="00396F6F">
      <w:pPr>
        <w:pStyle w:val="Akapitzlist"/>
        <w:numPr>
          <w:ilvl w:val="0"/>
          <w:numId w:val="2"/>
        </w:numPr>
        <w:spacing w:after="0" w:line="360" w:lineRule="auto"/>
        <w:ind w:left="567" w:hanging="283"/>
        <w:jc w:val="both"/>
        <w:rPr>
          <w:rFonts w:ascii="Times New Roman" w:hAnsi="Times New Roman" w:cs="Times New Roman"/>
          <w:sz w:val="24"/>
          <w:szCs w:val="24"/>
        </w:rPr>
      </w:pPr>
      <w:r w:rsidRPr="009F507F">
        <w:rPr>
          <w:rFonts w:ascii="Times New Roman" w:hAnsi="Times New Roman" w:cs="Times New Roman"/>
          <w:sz w:val="24"/>
          <w:szCs w:val="24"/>
        </w:rPr>
        <w:t>dla roku 20</w:t>
      </w:r>
      <w:r w:rsidR="00AA6961">
        <w:rPr>
          <w:rFonts w:ascii="Times New Roman" w:hAnsi="Times New Roman" w:cs="Times New Roman"/>
          <w:sz w:val="24"/>
          <w:szCs w:val="24"/>
        </w:rPr>
        <w:t>2</w:t>
      </w:r>
      <w:r w:rsidR="00D80B09">
        <w:rPr>
          <w:rFonts w:ascii="Times New Roman" w:hAnsi="Times New Roman" w:cs="Times New Roman"/>
          <w:sz w:val="24"/>
          <w:szCs w:val="24"/>
        </w:rPr>
        <w:t>4</w:t>
      </w:r>
      <w:r w:rsidRPr="009F507F">
        <w:rPr>
          <w:rFonts w:ascii="Times New Roman" w:hAnsi="Times New Roman" w:cs="Times New Roman"/>
          <w:sz w:val="24"/>
          <w:szCs w:val="24"/>
        </w:rPr>
        <w:t xml:space="preserve"> wartości </w:t>
      </w:r>
      <w:r w:rsidR="007811A3">
        <w:rPr>
          <w:rFonts w:ascii="Times New Roman" w:hAnsi="Times New Roman" w:cs="Times New Roman"/>
          <w:sz w:val="24"/>
          <w:szCs w:val="24"/>
        </w:rPr>
        <w:t>pozostające w zgodności</w:t>
      </w:r>
      <w:r w:rsidRPr="009F507F">
        <w:rPr>
          <w:rFonts w:ascii="Times New Roman" w:hAnsi="Times New Roman" w:cs="Times New Roman"/>
          <w:sz w:val="24"/>
          <w:szCs w:val="24"/>
        </w:rPr>
        <w:t xml:space="preserve"> projekt</w:t>
      </w:r>
      <w:r w:rsidR="007811A3">
        <w:rPr>
          <w:rFonts w:ascii="Times New Roman" w:hAnsi="Times New Roman" w:cs="Times New Roman"/>
          <w:sz w:val="24"/>
          <w:szCs w:val="24"/>
        </w:rPr>
        <w:t xml:space="preserve">em </w:t>
      </w:r>
      <w:r w:rsidRPr="009F507F">
        <w:rPr>
          <w:rFonts w:ascii="Times New Roman" w:hAnsi="Times New Roman" w:cs="Times New Roman"/>
          <w:sz w:val="24"/>
          <w:szCs w:val="24"/>
        </w:rPr>
        <w:t>budżetu,</w:t>
      </w:r>
    </w:p>
    <w:p w14:paraId="42DF82C2" w14:textId="5FEC4ECE" w:rsidR="00E776D6" w:rsidRDefault="003E43D3" w:rsidP="00396F6F">
      <w:pPr>
        <w:pStyle w:val="Akapitzlist"/>
        <w:numPr>
          <w:ilvl w:val="0"/>
          <w:numId w:val="2"/>
        </w:numPr>
        <w:spacing w:after="0" w:line="360" w:lineRule="auto"/>
        <w:ind w:left="567" w:hanging="283"/>
        <w:jc w:val="both"/>
        <w:rPr>
          <w:rFonts w:ascii="Times New Roman" w:hAnsi="Times New Roman" w:cs="Times New Roman"/>
          <w:sz w:val="24"/>
          <w:szCs w:val="24"/>
        </w:rPr>
      </w:pPr>
      <w:r w:rsidRPr="009F507F">
        <w:rPr>
          <w:rFonts w:ascii="Times New Roman" w:hAnsi="Times New Roman" w:cs="Times New Roman"/>
          <w:sz w:val="24"/>
          <w:szCs w:val="24"/>
        </w:rPr>
        <w:t>dla lat 20</w:t>
      </w:r>
      <w:r w:rsidR="0032653D" w:rsidRPr="009F507F">
        <w:rPr>
          <w:rFonts w:ascii="Times New Roman" w:hAnsi="Times New Roman" w:cs="Times New Roman"/>
          <w:sz w:val="24"/>
          <w:szCs w:val="24"/>
        </w:rPr>
        <w:t>2</w:t>
      </w:r>
      <w:r w:rsidR="0009592C">
        <w:rPr>
          <w:rFonts w:ascii="Times New Roman" w:hAnsi="Times New Roman" w:cs="Times New Roman"/>
          <w:sz w:val="24"/>
          <w:szCs w:val="24"/>
        </w:rPr>
        <w:t>5</w:t>
      </w:r>
      <w:r w:rsidR="003B4157" w:rsidRPr="009F507F">
        <w:rPr>
          <w:rFonts w:ascii="Times New Roman" w:hAnsi="Times New Roman" w:cs="Times New Roman"/>
          <w:sz w:val="24"/>
          <w:szCs w:val="24"/>
        </w:rPr>
        <w:t>-20</w:t>
      </w:r>
      <w:r w:rsidR="0009592C">
        <w:rPr>
          <w:rFonts w:ascii="Times New Roman" w:hAnsi="Times New Roman" w:cs="Times New Roman"/>
          <w:sz w:val="24"/>
          <w:szCs w:val="24"/>
        </w:rPr>
        <w:t>30</w:t>
      </w:r>
      <w:r w:rsidRPr="009F507F">
        <w:rPr>
          <w:rFonts w:ascii="Times New Roman" w:hAnsi="Times New Roman" w:cs="Times New Roman"/>
          <w:sz w:val="24"/>
          <w:szCs w:val="24"/>
        </w:rPr>
        <w:t xml:space="preserve"> prognoza </w:t>
      </w:r>
      <w:r w:rsidR="00B105C3">
        <w:rPr>
          <w:rFonts w:ascii="Times New Roman" w:hAnsi="Times New Roman" w:cs="Times New Roman"/>
          <w:sz w:val="24"/>
          <w:szCs w:val="24"/>
        </w:rPr>
        <w:t xml:space="preserve">w podstawowym zakresie oparto </w:t>
      </w:r>
      <w:r w:rsidRPr="009F507F">
        <w:rPr>
          <w:rFonts w:ascii="Times New Roman" w:hAnsi="Times New Roman" w:cs="Times New Roman"/>
          <w:sz w:val="24"/>
          <w:szCs w:val="24"/>
        </w:rPr>
        <w:t xml:space="preserve">o </w:t>
      </w:r>
      <w:r w:rsidR="00B16436" w:rsidRPr="009F507F">
        <w:rPr>
          <w:rFonts w:ascii="Times New Roman" w:hAnsi="Times New Roman" w:cs="Times New Roman"/>
          <w:sz w:val="24"/>
          <w:szCs w:val="24"/>
        </w:rPr>
        <w:t xml:space="preserve">przewidywany </w:t>
      </w:r>
      <w:r w:rsidRPr="009F507F">
        <w:rPr>
          <w:rFonts w:ascii="Times New Roman" w:hAnsi="Times New Roman" w:cs="Times New Roman"/>
          <w:sz w:val="24"/>
          <w:szCs w:val="24"/>
        </w:rPr>
        <w:t xml:space="preserve">wskaźnik </w:t>
      </w:r>
      <w:r w:rsidRPr="0009592C">
        <w:rPr>
          <w:rFonts w:ascii="Times New Roman" w:hAnsi="Times New Roman" w:cs="Times New Roman"/>
          <w:sz w:val="24"/>
          <w:szCs w:val="24"/>
        </w:rPr>
        <w:t>inflacji</w:t>
      </w:r>
      <w:r w:rsidR="003B4157" w:rsidRPr="0009592C">
        <w:rPr>
          <w:rFonts w:ascii="Times New Roman" w:hAnsi="Times New Roman" w:cs="Times New Roman"/>
          <w:sz w:val="24"/>
          <w:szCs w:val="24"/>
        </w:rPr>
        <w:t xml:space="preserve"> (</w:t>
      </w:r>
      <w:r w:rsidR="000C7360" w:rsidRPr="0009592C">
        <w:rPr>
          <w:rFonts w:ascii="Times New Roman" w:hAnsi="Times New Roman" w:cs="Times New Roman"/>
          <w:sz w:val="24"/>
          <w:szCs w:val="24"/>
        </w:rPr>
        <w:t xml:space="preserve">odpowiednio </w:t>
      </w:r>
      <w:r w:rsidR="00037339" w:rsidRPr="0009592C">
        <w:rPr>
          <w:rFonts w:ascii="Times New Roman" w:hAnsi="Times New Roman" w:cs="Times New Roman"/>
          <w:sz w:val="24"/>
          <w:szCs w:val="24"/>
        </w:rPr>
        <w:t>4,</w:t>
      </w:r>
      <w:r w:rsidR="0009592C" w:rsidRPr="0009592C">
        <w:rPr>
          <w:rFonts w:ascii="Times New Roman" w:hAnsi="Times New Roman" w:cs="Times New Roman"/>
          <w:sz w:val="24"/>
          <w:szCs w:val="24"/>
        </w:rPr>
        <w:t>1</w:t>
      </w:r>
      <w:r w:rsidR="00037339" w:rsidRPr="0009592C">
        <w:rPr>
          <w:rFonts w:ascii="Times New Roman" w:hAnsi="Times New Roman" w:cs="Times New Roman"/>
          <w:sz w:val="24"/>
          <w:szCs w:val="24"/>
        </w:rPr>
        <w:t>%, 3,1%,</w:t>
      </w:r>
      <w:r w:rsidR="009413FE" w:rsidRPr="0009592C">
        <w:rPr>
          <w:rFonts w:ascii="Times New Roman" w:hAnsi="Times New Roman" w:cs="Times New Roman"/>
          <w:sz w:val="24"/>
          <w:szCs w:val="24"/>
        </w:rPr>
        <w:t xml:space="preserve"> </w:t>
      </w:r>
      <w:r w:rsidR="00037339" w:rsidRPr="0009592C">
        <w:rPr>
          <w:rFonts w:ascii="Times New Roman" w:hAnsi="Times New Roman" w:cs="Times New Roman"/>
          <w:sz w:val="24"/>
          <w:szCs w:val="24"/>
        </w:rPr>
        <w:t>2,5%</w:t>
      </w:r>
      <w:r w:rsidR="0009592C" w:rsidRPr="0009592C">
        <w:rPr>
          <w:rFonts w:ascii="Times New Roman" w:hAnsi="Times New Roman" w:cs="Times New Roman"/>
          <w:sz w:val="24"/>
          <w:szCs w:val="24"/>
        </w:rPr>
        <w:t>, 2,5%,</w:t>
      </w:r>
      <w:r w:rsidR="00A7713C">
        <w:rPr>
          <w:rFonts w:ascii="Times New Roman" w:hAnsi="Times New Roman" w:cs="Times New Roman"/>
          <w:sz w:val="24"/>
          <w:szCs w:val="24"/>
        </w:rPr>
        <w:t xml:space="preserve"> </w:t>
      </w:r>
      <w:r w:rsidR="0009592C" w:rsidRPr="0009592C">
        <w:rPr>
          <w:rFonts w:ascii="Times New Roman" w:hAnsi="Times New Roman" w:cs="Times New Roman"/>
          <w:sz w:val="24"/>
          <w:szCs w:val="24"/>
        </w:rPr>
        <w:t>2,5% 2,5%</w:t>
      </w:r>
      <w:r w:rsidR="009F507F" w:rsidRPr="0009592C">
        <w:rPr>
          <w:rFonts w:ascii="Times New Roman" w:hAnsi="Times New Roman" w:cs="Times New Roman"/>
          <w:sz w:val="24"/>
          <w:szCs w:val="24"/>
        </w:rPr>
        <w:t>)</w:t>
      </w:r>
      <w:r w:rsidRPr="0009592C">
        <w:rPr>
          <w:rFonts w:ascii="Times New Roman" w:hAnsi="Times New Roman" w:cs="Times New Roman"/>
          <w:sz w:val="24"/>
          <w:szCs w:val="24"/>
        </w:rPr>
        <w:t xml:space="preserve"> oraz dynamiki PKB</w:t>
      </w:r>
      <w:r w:rsidR="00662C4F" w:rsidRPr="0009592C">
        <w:rPr>
          <w:rFonts w:ascii="Times New Roman" w:hAnsi="Times New Roman" w:cs="Times New Roman"/>
          <w:sz w:val="24"/>
          <w:szCs w:val="24"/>
        </w:rPr>
        <w:t xml:space="preserve"> (</w:t>
      </w:r>
      <w:r w:rsidR="00037339" w:rsidRPr="0009592C">
        <w:rPr>
          <w:rFonts w:ascii="Times New Roman" w:hAnsi="Times New Roman" w:cs="Times New Roman"/>
          <w:sz w:val="24"/>
          <w:szCs w:val="24"/>
        </w:rPr>
        <w:t>3,</w:t>
      </w:r>
      <w:r w:rsidR="0009592C" w:rsidRPr="0009592C">
        <w:rPr>
          <w:rFonts w:ascii="Times New Roman" w:hAnsi="Times New Roman" w:cs="Times New Roman"/>
          <w:sz w:val="24"/>
          <w:szCs w:val="24"/>
        </w:rPr>
        <w:t>4</w:t>
      </w:r>
      <w:r w:rsidR="00037339" w:rsidRPr="0009592C">
        <w:rPr>
          <w:rFonts w:ascii="Times New Roman" w:hAnsi="Times New Roman" w:cs="Times New Roman"/>
          <w:sz w:val="24"/>
          <w:szCs w:val="24"/>
        </w:rPr>
        <w:t>%, 3,</w:t>
      </w:r>
      <w:r w:rsidR="0009592C" w:rsidRPr="0009592C">
        <w:rPr>
          <w:rFonts w:ascii="Times New Roman" w:hAnsi="Times New Roman" w:cs="Times New Roman"/>
          <w:sz w:val="24"/>
          <w:szCs w:val="24"/>
        </w:rPr>
        <w:t>1</w:t>
      </w:r>
      <w:r w:rsidR="00037339" w:rsidRPr="0009592C">
        <w:rPr>
          <w:rFonts w:ascii="Times New Roman" w:hAnsi="Times New Roman" w:cs="Times New Roman"/>
          <w:sz w:val="24"/>
          <w:szCs w:val="24"/>
        </w:rPr>
        <w:t xml:space="preserve">%, </w:t>
      </w:r>
      <w:r w:rsidR="0009592C" w:rsidRPr="0009592C">
        <w:rPr>
          <w:rFonts w:ascii="Times New Roman" w:hAnsi="Times New Roman" w:cs="Times New Roman"/>
          <w:sz w:val="24"/>
          <w:szCs w:val="24"/>
        </w:rPr>
        <w:t>3</w:t>
      </w:r>
      <w:r w:rsidR="00037339" w:rsidRPr="0009592C">
        <w:rPr>
          <w:rFonts w:ascii="Times New Roman" w:hAnsi="Times New Roman" w:cs="Times New Roman"/>
          <w:sz w:val="24"/>
          <w:szCs w:val="24"/>
        </w:rPr>
        <w:t>%</w:t>
      </w:r>
      <w:r w:rsidR="0009592C" w:rsidRPr="0009592C">
        <w:rPr>
          <w:rFonts w:ascii="Times New Roman" w:hAnsi="Times New Roman" w:cs="Times New Roman"/>
          <w:sz w:val="24"/>
          <w:szCs w:val="24"/>
        </w:rPr>
        <w:t>, 2,8%, 2,6%</w:t>
      </w:r>
      <w:r w:rsidR="005B3FCC">
        <w:rPr>
          <w:rFonts w:ascii="Times New Roman" w:hAnsi="Times New Roman" w:cs="Times New Roman"/>
          <w:sz w:val="24"/>
          <w:szCs w:val="24"/>
        </w:rPr>
        <w:t>, 2,5%</w:t>
      </w:r>
      <w:r w:rsidR="00037339" w:rsidRPr="0009592C">
        <w:rPr>
          <w:rFonts w:ascii="Times New Roman" w:hAnsi="Times New Roman" w:cs="Times New Roman"/>
          <w:sz w:val="24"/>
          <w:szCs w:val="24"/>
        </w:rPr>
        <w:t>)</w:t>
      </w:r>
      <w:r w:rsidR="0009592C" w:rsidRPr="0009592C">
        <w:rPr>
          <w:rFonts w:ascii="Times New Roman" w:hAnsi="Times New Roman" w:cs="Times New Roman"/>
          <w:sz w:val="24"/>
          <w:szCs w:val="24"/>
        </w:rPr>
        <w:t xml:space="preserve"> </w:t>
      </w:r>
      <w:r w:rsidR="00FF545E" w:rsidRPr="0009592C">
        <w:rPr>
          <w:rFonts w:ascii="Times New Roman" w:hAnsi="Times New Roman" w:cs="Times New Roman"/>
          <w:sz w:val="24"/>
          <w:szCs w:val="24"/>
        </w:rPr>
        <w:t>z uwzględnieniem szczególnych rozwiązań, o których mowa</w:t>
      </w:r>
      <w:r w:rsidR="00FF545E" w:rsidRPr="009F507F">
        <w:rPr>
          <w:rFonts w:ascii="Times New Roman" w:hAnsi="Times New Roman" w:cs="Times New Roman"/>
          <w:sz w:val="24"/>
          <w:szCs w:val="24"/>
        </w:rPr>
        <w:t xml:space="preserve"> poniżej</w:t>
      </w:r>
      <w:r w:rsidR="005B3FCC">
        <w:rPr>
          <w:rFonts w:ascii="Times New Roman" w:hAnsi="Times New Roman" w:cs="Times New Roman"/>
          <w:sz w:val="24"/>
          <w:szCs w:val="24"/>
        </w:rPr>
        <w:t>.</w:t>
      </w:r>
    </w:p>
    <w:p w14:paraId="0EEA0927" w14:textId="49EA2CE2" w:rsidR="0096497C" w:rsidRPr="0096497C" w:rsidRDefault="005478FA" w:rsidP="0096497C">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Na ww. podstawie oszacowano wartości dochodów i wydatków Gminy, co dzięki konstrukcji </w:t>
      </w:r>
      <w:r w:rsidR="00AC0245">
        <w:rPr>
          <w:rFonts w:ascii="Times New Roman" w:hAnsi="Times New Roman" w:cs="Times New Roman"/>
          <w:sz w:val="24"/>
          <w:szCs w:val="24"/>
        </w:rPr>
        <w:t xml:space="preserve">  </w:t>
      </w:r>
      <w:r>
        <w:rPr>
          <w:rFonts w:ascii="Times New Roman" w:hAnsi="Times New Roman" w:cs="Times New Roman"/>
          <w:sz w:val="24"/>
          <w:szCs w:val="24"/>
        </w:rPr>
        <w:t>i zaawansowaniu metod dokonywania obliczeń, pozwoli realizować w przyszłości właściwą politykę finansową jednostki.</w:t>
      </w:r>
    </w:p>
    <w:p w14:paraId="328E1D39" w14:textId="77777777" w:rsidR="00932D92" w:rsidRPr="00095C89" w:rsidRDefault="00932D92" w:rsidP="00396F6F">
      <w:pPr>
        <w:pStyle w:val="Akapitzlist"/>
        <w:numPr>
          <w:ilvl w:val="0"/>
          <w:numId w:val="1"/>
        </w:numPr>
        <w:spacing w:after="0" w:line="360" w:lineRule="auto"/>
        <w:ind w:left="284" w:hanging="284"/>
        <w:contextualSpacing w:val="0"/>
        <w:jc w:val="both"/>
        <w:rPr>
          <w:rFonts w:ascii="Times New Roman" w:hAnsi="Times New Roman" w:cs="Times New Roman"/>
          <w:b/>
          <w:sz w:val="24"/>
          <w:szCs w:val="24"/>
        </w:rPr>
      </w:pPr>
      <w:r w:rsidRPr="00095C89">
        <w:rPr>
          <w:rFonts w:ascii="Times New Roman" w:hAnsi="Times New Roman" w:cs="Times New Roman"/>
          <w:b/>
          <w:sz w:val="24"/>
          <w:szCs w:val="24"/>
        </w:rPr>
        <w:t>Prognoza dochodów</w:t>
      </w:r>
    </w:p>
    <w:p w14:paraId="1103E190" w14:textId="77777777" w:rsidR="00932D92" w:rsidRPr="00095C89" w:rsidRDefault="00932D92" w:rsidP="00396F6F">
      <w:pPr>
        <w:spacing w:after="0" w:line="360" w:lineRule="auto"/>
        <w:jc w:val="both"/>
        <w:rPr>
          <w:rFonts w:ascii="Times New Roman" w:hAnsi="Times New Roman" w:cs="Times New Roman"/>
          <w:sz w:val="24"/>
          <w:szCs w:val="24"/>
        </w:rPr>
      </w:pPr>
      <w:r w:rsidRPr="00095C89">
        <w:rPr>
          <w:rFonts w:ascii="Times New Roman" w:hAnsi="Times New Roman" w:cs="Times New Roman"/>
          <w:sz w:val="24"/>
          <w:szCs w:val="24"/>
        </w:rPr>
        <w:t>Prognozy dochodów dokonano przy następujących założeniach:</w:t>
      </w:r>
    </w:p>
    <w:p w14:paraId="5CF0FA39" w14:textId="77777777" w:rsidR="00932D92" w:rsidRPr="00095C89" w:rsidRDefault="006A360D" w:rsidP="00396F6F">
      <w:pPr>
        <w:pStyle w:val="Akapitzlist"/>
        <w:numPr>
          <w:ilvl w:val="0"/>
          <w:numId w:val="3"/>
        </w:numPr>
        <w:spacing w:after="0" w:line="360" w:lineRule="auto"/>
        <w:ind w:left="567" w:hanging="283"/>
        <w:jc w:val="both"/>
        <w:rPr>
          <w:rFonts w:ascii="Times New Roman" w:hAnsi="Times New Roman" w:cs="Times New Roman"/>
          <w:sz w:val="24"/>
          <w:szCs w:val="24"/>
        </w:rPr>
      </w:pPr>
      <w:r w:rsidRPr="00095C89">
        <w:rPr>
          <w:rFonts w:ascii="Times New Roman" w:hAnsi="Times New Roman" w:cs="Times New Roman"/>
          <w:sz w:val="24"/>
          <w:szCs w:val="24"/>
        </w:rPr>
        <w:t>w</w:t>
      </w:r>
      <w:r w:rsidR="00932D92" w:rsidRPr="00095C89">
        <w:rPr>
          <w:rFonts w:ascii="Times New Roman" w:hAnsi="Times New Roman" w:cs="Times New Roman"/>
          <w:sz w:val="24"/>
          <w:szCs w:val="24"/>
        </w:rPr>
        <w:t xml:space="preserve"> dochodach ogółem dokonano podziału na dochody bieżące i majątkowe.</w:t>
      </w:r>
    </w:p>
    <w:p w14:paraId="23BC3D4B" w14:textId="77777777" w:rsidR="00932D92" w:rsidRPr="00095C89" w:rsidRDefault="00932D92" w:rsidP="00396F6F">
      <w:pPr>
        <w:spacing w:after="0" w:line="360" w:lineRule="auto"/>
        <w:jc w:val="both"/>
        <w:rPr>
          <w:rFonts w:ascii="Times New Roman" w:hAnsi="Times New Roman" w:cs="Times New Roman"/>
          <w:sz w:val="24"/>
          <w:szCs w:val="24"/>
        </w:rPr>
      </w:pPr>
      <w:r w:rsidRPr="00095C89">
        <w:rPr>
          <w:rFonts w:ascii="Times New Roman" w:hAnsi="Times New Roman" w:cs="Times New Roman"/>
          <w:sz w:val="24"/>
          <w:szCs w:val="24"/>
        </w:rPr>
        <w:t>W dochodach bieżących prognozowano w podziale na kategorie:</w:t>
      </w:r>
    </w:p>
    <w:p w14:paraId="07881EE5" w14:textId="77777777" w:rsidR="00320658" w:rsidRPr="00AC6261" w:rsidRDefault="00320658" w:rsidP="00396F6F">
      <w:pPr>
        <w:pStyle w:val="Akapitzlist"/>
        <w:numPr>
          <w:ilvl w:val="0"/>
          <w:numId w:val="3"/>
        </w:numPr>
        <w:spacing w:after="0" w:line="360" w:lineRule="auto"/>
        <w:ind w:left="567" w:hanging="283"/>
        <w:jc w:val="both"/>
        <w:rPr>
          <w:rFonts w:ascii="Times New Roman" w:hAnsi="Times New Roman" w:cs="Times New Roman"/>
          <w:sz w:val="24"/>
          <w:szCs w:val="24"/>
        </w:rPr>
      </w:pPr>
      <w:r w:rsidRPr="00AC6261">
        <w:rPr>
          <w:rFonts w:ascii="Times New Roman" w:hAnsi="Times New Roman" w:cs="Times New Roman"/>
          <w:sz w:val="24"/>
          <w:szCs w:val="24"/>
        </w:rPr>
        <w:t>udział</w:t>
      </w:r>
      <w:r w:rsidR="00084B6C" w:rsidRPr="00AC6261">
        <w:rPr>
          <w:rFonts w:ascii="Times New Roman" w:hAnsi="Times New Roman" w:cs="Times New Roman"/>
          <w:sz w:val="24"/>
          <w:szCs w:val="24"/>
        </w:rPr>
        <w:t>y</w:t>
      </w:r>
      <w:r w:rsidRPr="00AC6261">
        <w:rPr>
          <w:rFonts w:ascii="Times New Roman" w:hAnsi="Times New Roman" w:cs="Times New Roman"/>
          <w:sz w:val="24"/>
          <w:szCs w:val="24"/>
        </w:rPr>
        <w:t xml:space="preserve"> w podatkach budżetu państwa,</w:t>
      </w:r>
    </w:p>
    <w:p w14:paraId="0C15F6F5" w14:textId="77777777" w:rsidR="00320658" w:rsidRPr="00AC6261" w:rsidRDefault="00320658" w:rsidP="00396F6F">
      <w:pPr>
        <w:pStyle w:val="Akapitzlist"/>
        <w:numPr>
          <w:ilvl w:val="0"/>
          <w:numId w:val="3"/>
        </w:numPr>
        <w:spacing w:after="0" w:line="360" w:lineRule="auto"/>
        <w:ind w:left="567" w:hanging="283"/>
        <w:jc w:val="both"/>
        <w:rPr>
          <w:rFonts w:ascii="Times New Roman" w:hAnsi="Times New Roman" w:cs="Times New Roman"/>
          <w:sz w:val="24"/>
          <w:szCs w:val="24"/>
        </w:rPr>
      </w:pPr>
      <w:r w:rsidRPr="00AC6261">
        <w:rPr>
          <w:rFonts w:ascii="Times New Roman" w:hAnsi="Times New Roman" w:cs="Times New Roman"/>
          <w:sz w:val="24"/>
          <w:szCs w:val="24"/>
        </w:rPr>
        <w:t>subwencje z budżetu państwa,</w:t>
      </w:r>
    </w:p>
    <w:p w14:paraId="12FAE235" w14:textId="4C12B7BB" w:rsidR="00320658" w:rsidRPr="007B5F96" w:rsidRDefault="00AC6261" w:rsidP="007B5F96">
      <w:pPr>
        <w:pStyle w:val="Akapitzlist"/>
        <w:numPr>
          <w:ilvl w:val="0"/>
          <w:numId w:val="3"/>
        </w:numPr>
        <w:spacing w:after="0" w:line="360" w:lineRule="auto"/>
        <w:ind w:left="567" w:hanging="283"/>
        <w:jc w:val="both"/>
        <w:rPr>
          <w:rFonts w:ascii="Times New Roman" w:hAnsi="Times New Roman" w:cs="Times New Roman"/>
          <w:sz w:val="24"/>
          <w:szCs w:val="24"/>
        </w:rPr>
      </w:pPr>
      <w:r w:rsidRPr="00AC6261">
        <w:rPr>
          <w:rFonts w:ascii="Times New Roman" w:hAnsi="Times New Roman" w:cs="Times New Roman"/>
          <w:sz w:val="24"/>
          <w:szCs w:val="24"/>
        </w:rPr>
        <w:t>dotacje i środki przeznaczone na cele bieżące,</w:t>
      </w:r>
    </w:p>
    <w:p w14:paraId="3DC4CA32" w14:textId="77777777" w:rsidR="00320658" w:rsidRPr="00AC6261" w:rsidRDefault="00320658" w:rsidP="00396F6F">
      <w:pPr>
        <w:pStyle w:val="Akapitzlist"/>
        <w:numPr>
          <w:ilvl w:val="0"/>
          <w:numId w:val="3"/>
        </w:numPr>
        <w:spacing w:after="0" w:line="360" w:lineRule="auto"/>
        <w:ind w:left="567" w:hanging="283"/>
        <w:jc w:val="both"/>
        <w:rPr>
          <w:rFonts w:ascii="Times New Roman" w:hAnsi="Times New Roman" w:cs="Times New Roman"/>
          <w:sz w:val="24"/>
          <w:szCs w:val="24"/>
        </w:rPr>
      </w:pPr>
      <w:r w:rsidRPr="00AC6261">
        <w:rPr>
          <w:rFonts w:ascii="Times New Roman" w:hAnsi="Times New Roman" w:cs="Times New Roman"/>
          <w:sz w:val="24"/>
          <w:szCs w:val="24"/>
        </w:rPr>
        <w:t>pozostałe dochody bieżące</w:t>
      </w:r>
      <w:r w:rsidR="00AC6261" w:rsidRPr="00AC6261">
        <w:rPr>
          <w:rFonts w:ascii="Times New Roman" w:hAnsi="Times New Roman" w:cs="Times New Roman"/>
          <w:sz w:val="24"/>
          <w:szCs w:val="24"/>
        </w:rPr>
        <w:t>, w tym podatek od nieruchomości</w:t>
      </w:r>
      <w:r w:rsidRPr="00AC6261">
        <w:rPr>
          <w:rFonts w:ascii="Times New Roman" w:hAnsi="Times New Roman" w:cs="Times New Roman"/>
          <w:sz w:val="24"/>
          <w:szCs w:val="24"/>
        </w:rPr>
        <w:t>.</w:t>
      </w:r>
    </w:p>
    <w:p w14:paraId="7727D646" w14:textId="020B7B32" w:rsidR="00D30D37" w:rsidRDefault="00FD6691" w:rsidP="00B464B3">
      <w:pPr>
        <w:spacing w:after="0" w:line="360" w:lineRule="auto"/>
        <w:jc w:val="both"/>
        <w:rPr>
          <w:rFonts w:ascii="Times New Roman" w:hAnsi="Times New Roman" w:cs="Times New Roman"/>
          <w:sz w:val="24"/>
          <w:szCs w:val="24"/>
        </w:rPr>
      </w:pPr>
      <w:r w:rsidRPr="00095C89">
        <w:rPr>
          <w:rFonts w:ascii="Times New Roman" w:hAnsi="Times New Roman" w:cs="Times New Roman"/>
          <w:sz w:val="24"/>
          <w:szCs w:val="24"/>
        </w:rPr>
        <w:t xml:space="preserve">Dochody bieżące kalkulowano w oparciu o </w:t>
      </w:r>
      <w:r w:rsidR="00B16436" w:rsidRPr="00095C89">
        <w:rPr>
          <w:rFonts w:ascii="Times New Roman" w:hAnsi="Times New Roman" w:cs="Times New Roman"/>
          <w:sz w:val="24"/>
          <w:szCs w:val="24"/>
        </w:rPr>
        <w:t xml:space="preserve">przewidywany </w:t>
      </w:r>
      <w:r w:rsidRPr="00095C89">
        <w:rPr>
          <w:rFonts w:ascii="Times New Roman" w:hAnsi="Times New Roman" w:cs="Times New Roman"/>
          <w:sz w:val="24"/>
          <w:szCs w:val="24"/>
        </w:rPr>
        <w:t>wskaźnik inflacji, z wyjątkiem udziałów</w:t>
      </w:r>
      <w:r w:rsidR="00D30D37">
        <w:rPr>
          <w:rFonts w:ascii="Times New Roman" w:hAnsi="Times New Roman" w:cs="Times New Roman"/>
          <w:sz w:val="24"/>
          <w:szCs w:val="24"/>
        </w:rPr>
        <w:t xml:space="preserve"> w podatkach dochodowych. Kalkulacje dochodów z tytułu </w:t>
      </w:r>
      <w:r w:rsidR="00B464B3" w:rsidRPr="00B464B3">
        <w:rPr>
          <w:rFonts w:ascii="Times New Roman" w:hAnsi="Times New Roman" w:cs="Times New Roman"/>
          <w:sz w:val="24"/>
          <w:szCs w:val="24"/>
        </w:rPr>
        <w:t xml:space="preserve">udziału we wpływach </w:t>
      </w:r>
      <w:r w:rsidR="00966B7D">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B464B3" w:rsidRPr="00B464B3">
        <w:rPr>
          <w:rFonts w:ascii="Times New Roman" w:hAnsi="Times New Roman" w:cs="Times New Roman"/>
          <w:sz w:val="24"/>
          <w:szCs w:val="24"/>
        </w:rPr>
        <w:t xml:space="preserve">z podatku dochodowego od osób fizycznych i prawnych </w:t>
      </w:r>
      <w:r w:rsidR="00D30D37">
        <w:rPr>
          <w:rFonts w:ascii="Times New Roman" w:hAnsi="Times New Roman" w:cs="Times New Roman"/>
          <w:sz w:val="24"/>
          <w:szCs w:val="24"/>
        </w:rPr>
        <w:t>oparto o obliczenia Ministra Finansów na rok 202</w:t>
      </w:r>
      <w:r w:rsidR="00D80B09">
        <w:rPr>
          <w:rFonts w:ascii="Times New Roman" w:hAnsi="Times New Roman" w:cs="Times New Roman"/>
          <w:sz w:val="24"/>
          <w:szCs w:val="24"/>
        </w:rPr>
        <w:t>4</w:t>
      </w:r>
      <w:r w:rsidR="00037339">
        <w:rPr>
          <w:rFonts w:ascii="Times New Roman" w:hAnsi="Times New Roman" w:cs="Times New Roman"/>
          <w:sz w:val="24"/>
          <w:szCs w:val="24"/>
        </w:rPr>
        <w:t xml:space="preserve">. </w:t>
      </w:r>
      <w:r w:rsidR="00D30D37">
        <w:rPr>
          <w:rFonts w:ascii="Times New Roman" w:hAnsi="Times New Roman" w:cs="Times New Roman"/>
          <w:sz w:val="24"/>
          <w:szCs w:val="24"/>
        </w:rPr>
        <w:t>Na kolejne lata zaplanowano PIT i CIT waloryzując o wskaźnik PKB</w:t>
      </w:r>
      <w:r w:rsidR="00AC0245">
        <w:rPr>
          <w:rFonts w:ascii="Times New Roman" w:hAnsi="Times New Roman" w:cs="Times New Roman"/>
          <w:sz w:val="24"/>
          <w:szCs w:val="24"/>
        </w:rPr>
        <w:t>.</w:t>
      </w:r>
      <w:r w:rsidR="00D30D37">
        <w:rPr>
          <w:rFonts w:ascii="Times New Roman" w:hAnsi="Times New Roman" w:cs="Times New Roman"/>
          <w:sz w:val="24"/>
          <w:szCs w:val="24"/>
        </w:rPr>
        <w:t xml:space="preserve"> </w:t>
      </w:r>
      <w:r w:rsidR="00B826B7">
        <w:rPr>
          <w:rFonts w:ascii="Times New Roman" w:hAnsi="Times New Roman" w:cs="Times New Roman"/>
          <w:sz w:val="24"/>
          <w:szCs w:val="24"/>
        </w:rPr>
        <w:t>Zgodnie</w:t>
      </w:r>
      <w:r w:rsidR="00AC0245">
        <w:rPr>
          <w:rFonts w:ascii="Times New Roman" w:hAnsi="Times New Roman" w:cs="Times New Roman"/>
          <w:sz w:val="24"/>
          <w:szCs w:val="24"/>
        </w:rPr>
        <w:t xml:space="preserve">    </w:t>
      </w:r>
      <w:r w:rsidR="00B826B7">
        <w:rPr>
          <w:rFonts w:ascii="Times New Roman" w:hAnsi="Times New Roman" w:cs="Times New Roman"/>
          <w:sz w:val="24"/>
          <w:szCs w:val="24"/>
        </w:rPr>
        <w:t xml:space="preserve"> z art. 12 projektu ustawy o szczególnych rozwiązaniach służących realizacji ustawy budżetowej na rok 2024</w:t>
      </w:r>
      <w:r w:rsidR="00B105C3">
        <w:rPr>
          <w:rFonts w:ascii="Times New Roman" w:hAnsi="Times New Roman" w:cs="Times New Roman"/>
          <w:sz w:val="24"/>
          <w:szCs w:val="24"/>
        </w:rPr>
        <w:t>,</w:t>
      </w:r>
      <w:r w:rsidR="00B826B7">
        <w:rPr>
          <w:rFonts w:ascii="Times New Roman" w:hAnsi="Times New Roman" w:cs="Times New Roman"/>
          <w:sz w:val="24"/>
          <w:szCs w:val="24"/>
        </w:rPr>
        <w:t xml:space="preserve"> jednostki samorządu terytorialnego nie otrzymają części  rozwojowej subwencji ogólnej</w:t>
      </w:r>
      <w:r w:rsidR="00B105C3">
        <w:rPr>
          <w:rFonts w:ascii="Times New Roman" w:hAnsi="Times New Roman" w:cs="Times New Roman"/>
          <w:sz w:val="24"/>
          <w:szCs w:val="24"/>
        </w:rPr>
        <w:t xml:space="preserve"> w roku 2024</w:t>
      </w:r>
      <w:r w:rsidR="00B826B7">
        <w:rPr>
          <w:rFonts w:ascii="Times New Roman" w:hAnsi="Times New Roman" w:cs="Times New Roman"/>
          <w:sz w:val="24"/>
          <w:szCs w:val="24"/>
        </w:rPr>
        <w:t>. Zaplanowano ją w związku z tym od roku 2025.</w:t>
      </w:r>
      <w:r w:rsidR="00037339">
        <w:rPr>
          <w:rFonts w:ascii="Times New Roman" w:hAnsi="Times New Roman" w:cs="Times New Roman"/>
          <w:sz w:val="24"/>
          <w:szCs w:val="24"/>
        </w:rPr>
        <w:t xml:space="preserve"> W</w:t>
      </w:r>
      <w:r w:rsidR="00943DDE">
        <w:rPr>
          <w:rFonts w:ascii="Times New Roman" w:hAnsi="Times New Roman" w:cs="Times New Roman"/>
          <w:sz w:val="24"/>
          <w:szCs w:val="24"/>
        </w:rPr>
        <w:t xml:space="preserve">ysokość </w:t>
      </w:r>
      <w:r w:rsidR="00037339">
        <w:rPr>
          <w:rFonts w:ascii="Times New Roman" w:hAnsi="Times New Roman" w:cs="Times New Roman"/>
          <w:sz w:val="24"/>
          <w:szCs w:val="24"/>
        </w:rPr>
        <w:t>prognozowanej dla Gminy subwencji rozwojowej na rok 202</w:t>
      </w:r>
      <w:r w:rsidR="00B826B7">
        <w:rPr>
          <w:rFonts w:ascii="Times New Roman" w:hAnsi="Times New Roman" w:cs="Times New Roman"/>
          <w:sz w:val="24"/>
          <w:szCs w:val="24"/>
        </w:rPr>
        <w:t xml:space="preserve">5 i dalsze lata przyjęto na podstawie </w:t>
      </w:r>
      <w:r w:rsidR="00037339">
        <w:rPr>
          <w:rFonts w:ascii="Times New Roman" w:hAnsi="Times New Roman" w:cs="Times New Roman"/>
          <w:sz w:val="24"/>
          <w:szCs w:val="24"/>
        </w:rPr>
        <w:t>źródł</w:t>
      </w:r>
      <w:r w:rsidR="00B826B7">
        <w:rPr>
          <w:rFonts w:ascii="Times New Roman" w:hAnsi="Times New Roman" w:cs="Times New Roman"/>
          <w:sz w:val="24"/>
          <w:szCs w:val="24"/>
        </w:rPr>
        <w:t>a</w:t>
      </w:r>
      <w:r w:rsidR="00037339">
        <w:rPr>
          <w:rFonts w:ascii="Times New Roman" w:hAnsi="Times New Roman" w:cs="Times New Roman"/>
          <w:sz w:val="24"/>
          <w:szCs w:val="24"/>
        </w:rPr>
        <w:t xml:space="preserve"> </w:t>
      </w:r>
      <w:r w:rsidR="007811A3">
        <w:rPr>
          <w:rFonts w:ascii="Times New Roman" w:hAnsi="Times New Roman" w:cs="Times New Roman"/>
          <w:sz w:val="24"/>
          <w:szCs w:val="24"/>
        </w:rPr>
        <w:t xml:space="preserve">Prognoza Ministerstwa Finansów o wpływie noweli ustawy </w:t>
      </w:r>
      <w:r w:rsidR="00B826B7">
        <w:rPr>
          <w:rFonts w:ascii="Times New Roman" w:hAnsi="Times New Roman" w:cs="Times New Roman"/>
          <w:sz w:val="24"/>
          <w:szCs w:val="24"/>
        </w:rPr>
        <w:t xml:space="preserve">o </w:t>
      </w:r>
      <w:r w:rsidR="007811A3">
        <w:rPr>
          <w:rFonts w:ascii="Times New Roman" w:hAnsi="Times New Roman" w:cs="Times New Roman"/>
          <w:sz w:val="24"/>
          <w:szCs w:val="24"/>
        </w:rPr>
        <w:t xml:space="preserve">dochodach </w:t>
      </w:r>
      <w:r w:rsidR="008F76EB">
        <w:rPr>
          <w:rFonts w:ascii="Times New Roman" w:hAnsi="Times New Roman" w:cs="Times New Roman"/>
          <w:sz w:val="24"/>
          <w:szCs w:val="24"/>
        </w:rPr>
        <w:t>JST na każdą z 2477 gmin</w:t>
      </w:r>
      <w:r w:rsidR="009C4E34">
        <w:rPr>
          <w:rFonts w:ascii="Times New Roman" w:hAnsi="Times New Roman" w:cs="Times New Roman"/>
          <w:sz w:val="24"/>
          <w:szCs w:val="24"/>
        </w:rPr>
        <w:t>, zwaloryzowaną o wskaźnik</w:t>
      </w:r>
      <w:r w:rsidR="00B105C3">
        <w:rPr>
          <w:rFonts w:ascii="Times New Roman" w:hAnsi="Times New Roman" w:cs="Times New Roman"/>
          <w:sz w:val="24"/>
          <w:szCs w:val="24"/>
        </w:rPr>
        <w:t>i</w:t>
      </w:r>
      <w:r w:rsidR="009C4E34">
        <w:rPr>
          <w:rFonts w:ascii="Times New Roman" w:hAnsi="Times New Roman" w:cs="Times New Roman"/>
          <w:sz w:val="24"/>
          <w:szCs w:val="24"/>
        </w:rPr>
        <w:t xml:space="preserve"> inflacji</w:t>
      </w:r>
      <w:r w:rsidR="009413FE">
        <w:rPr>
          <w:rFonts w:ascii="Times New Roman" w:hAnsi="Times New Roman" w:cs="Times New Roman"/>
          <w:sz w:val="24"/>
          <w:szCs w:val="24"/>
        </w:rPr>
        <w:t xml:space="preserve">. </w:t>
      </w:r>
    </w:p>
    <w:p w14:paraId="418DA9D2" w14:textId="220FF324" w:rsidR="00084B6C" w:rsidRPr="00095C89" w:rsidRDefault="005147BE" w:rsidP="00396F6F">
      <w:pPr>
        <w:spacing w:after="0" w:line="360" w:lineRule="auto"/>
        <w:jc w:val="both"/>
        <w:rPr>
          <w:rFonts w:ascii="Times New Roman" w:hAnsi="Times New Roman" w:cs="Times New Roman"/>
          <w:sz w:val="24"/>
          <w:szCs w:val="24"/>
        </w:rPr>
      </w:pPr>
      <w:r w:rsidRPr="00095C89">
        <w:rPr>
          <w:rFonts w:ascii="Times New Roman" w:hAnsi="Times New Roman" w:cs="Times New Roman"/>
          <w:sz w:val="24"/>
          <w:szCs w:val="24"/>
        </w:rPr>
        <w:t>Dla podatku</w:t>
      </w:r>
      <w:r w:rsidR="00764B69">
        <w:rPr>
          <w:rFonts w:ascii="Times New Roman" w:hAnsi="Times New Roman" w:cs="Times New Roman"/>
          <w:sz w:val="24"/>
          <w:szCs w:val="24"/>
        </w:rPr>
        <w:t xml:space="preserve"> </w:t>
      </w:r>
      <w:r w:rsidRPr="00095C89">
        <w:rPr>
          <w:rFonts w:ascii="Times New Roman" w:hAnsi="Times New Roman" w:cs="Times New Roman"/>
          <w:sz w:val="24"/>
          <w:szCs w:val="24"/>
        </w:rPr>
        <w:t xml:space="preserve">od nieruchomości </w:t>
      </w:r>
      <w:r w:rsidR="008F76EB">
        <w:rPr>
          <w:rFonts w:ascii="Times New Roman" w:hAnsi="Times New Roman" w:cs="Times New Roman"/>
          <w:sz w:val="24"/>
          <w:szCs w:val="24"/>
        </w:rPr>
        <w:t xml:space="preserve">przyjęto zwiększenie dochodów będących konsekwencją </w:t>
      </w:r>
      <w:r w:rsidR="00B105C3">
        <w:rPr>
          <w:rFonts w:ascii="Times New Roman" w:hAnsi="Times New Roman" w:cs="Times New Roman"/>
          <w:sz w:val="24"/>
          <w:szCs w:val="24"/>
        </w:rPr>
        <w:t xml:space="preserve">wygaśnięcia uchwały </w:t>
      </w:r>
      <w:r w:rsidR="002F00E7">
        <w:rPr>
          <w:rFonts w:ascii="Times New Roman" w:hAnsi="Times New Roman" w:cs="Times New Roman"/>
          <w:sz w:val="24"/>
          <w:szCs w:val="24"/>
        </w:rPr>
        <w:t>dot</w:t>
      </w:r>
      <w:r w:rsidR="000312CA">
        <w:rPr>
          <w:rFonts w:ascii="Times New Roman" w:hAnsi="Times New Roman" w:cs="Times New Roman"/>
          <w:sz w:val="24"/>
          <w:szCs w:val="24"/>
        </w:rPr>
        <w:t>.</w:t>
      </w:r>
      <w:r w:rsidR="002F00E7">
        <w:rPr>
          <w:rFonts w:ascii="Times New Roman" w:hAnsi="Times New Roman" w:cs="Times New Roman"/>
          <w:sz w:val="24"/>
          <w:szCs w:val="24"/>
        </w:rPr>
        <w:t xml:space="preserve"> zwolnienia od podatku od nieruchomości w ramach regionalnej pomocy inwestycyjnej</w:t>
      </w:r>
      <w:r w:rsidR="00B105C3">
        <w:rPr>
          <w:rFonts w:ascii="Times New Roman" w:hAnsi="Times New Roman" w:cs="Times New Roman"/>
          <w:sz w:val="24"/>
          <w:szCs w:val="24"/>
        </w:rPr>
        <w:t xml:space="preserve">, z założeniem corocznego wzrostu o wskaźnik inflacji a także zmian </w:t>
      </w:r>
      <w:r w:rsidR="00AC0245">
        <w:rPr>
          <w:rFonts w:ascii="Times New Roman" w:hAnsi="Times New Roman" w:cs="Times New Roman"/>
          <w:sz w:val="24"/>
          <w:szCs w:val="24"/>
        </w:rPr>
        <w:t xml:space="preserve">     </w:t>
      </w:r>
      <w:r w:rsidR="00B105C3">
        <w:rPr>
          <w:rFonts w:ascii="Times New Roman" w:hAnsi="Times New Roman" w:cs="Times New Roman"/>
          <w:sz w:val="24"/>
          <w:szCs w:val="24"/>
        </w:rPr>
        <w:t>w zasobach nieruchomości Gminy Miasto-Działdowo, które stanowią przedmiot opodatkowania.</w:t>
      </w:r>
      <w:r w:rsidR="002F00E7">
        <w:rPr>
          <w:rFonts w:ascii="Times New Roman" w:hAnsi="Times New Roman" w:cs="Times New Roman"/>
          <w:sz w:val="24"/>
          <w:szCs w:val="24"/>
        </w:rPr>
        <w:t xml:space="preserve"> </w:t>
      </w:r>
    </w:p>
    <w:p w14:paraId="27E16172" w14:textId="235DC2DB" w:rsidR="0054189D" w:rsidRDefault="00613EB8"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Waloryzacji o wskaźniki makroekonomiczne nie poddano dochodów o charakterze majątkowym. </w:t>
      </w:r>
      <w:r w:rsidR="00ED459D" w:rsidRPr="00095C89">
        <w:rPr>
          <w:rFonts w:ascii="Times New Roman" w:hAnsi="Times New Roman" w:cs="Times New Roman"/>
          <w:sz w:val="24"/>
          <w:szCs w:val="24"/>
        </w:rPr>
        <w:t>Dochody ze sprzedaży majątku zostały zaplanowane zgodnie ze złożonym</w:t>
      </w:r>
      <w:r w:rsidR="00B16436" w:rsidRPr="00095C89">
        <w:rPr>
          <w:rFonts w:ascii="Times New Roman" w:hAnsi="Times New Roman" w:cs="Times New Roman"/>
          <w:sz w:val="24"/>
          <w:szCs w:val="24"/>
        </w:rPr>
        <w:t>i</w:t>
      </w:r>
      <w:r w:rsidR="00ED459D" w:rsidRPr="00095C89">
        <w:rPr>
          <w:rFonts w:ascii="Times New Roman" w:hAnsi="Times New Roman" w:cs="Times New Roman"/>
          <w:sz w:val="24"/>
          <w:szCs w:val="24"/>
        </w:rPr>
        <w:t xml:space="preserve"> przez wydziały merytoryczne </w:t>
      </w:r>
      <w:r w:rsidR="00865DD6" w:rsidRPr="00095C89">
        <w:rPr>
          <w:rFonts w:ascii="Times New Roman" w:hAnsi="Times New Roman" w:cs="Times New Roman"/>
          <w:sz w:val="24"/>
          <w:szCs w:val="24"/>
        </w:rPr>
        <w:t>planami sprzedaży</w:t>
      </w:r>
      <w:r w:rsidR="00ED459D" w:rsidRPr="00095C89">
        <w:rPr>
          <w:rFonts w:ascii="Times New Roman" w:hAnsi="Times New Roman" w:cs="Times New Roman"/>
          <w:sz w:val="24"/>
          <w:szCs w:val="24"/>
        </w:rPr>
        <w:t xml:space="preserve"> mienia miasta Działdowo</w:t>
      </w:r>
      <w:r w:rsidR="000479C3" w:rsidRPr="00095C89">
        <w:rPr>
          <w:rFonts w:ascii="Times New Roman" w:hAnsi="Times New Roman" w:cs="Times New Roman"/>
          <w:sz w:val="24"/>
          <w:szCs w:val="24"/>
        </w:rPr>
        <w:t>,</w:t>
      </w:r>
      <w:r w:rsidR="005147BE" w:rsidRPr="00095C89">
        <w:rPr>
          <w:rFonts w:ascii="Times New Roman" w:hAnsi="Times New Roman" w:cs="Times New Roman"/>
          <w:sz w:val="24"/>
          <w:szCs w:val="24"/>
        </w:rPr>
        <w:t xml:space="preserve"> </w:t>
      </w:r>
      <w:r w:rsidR="0003105E">
        <w:rPr>
          <w:rFonts w:ascii="Times New Roman" w:hAnsi="Times New Roman" w:cs="Times New Roman"/>
          <w:sz w:val="24"/>
          <w:szCs w:val="24"/>
        </w:rPr>
        <w:t xml:space="preserve">sporządzonymi szczegółowo ze wskazaniem konkretnych nieruchomości w poszczególnych latach, </w:t>
      </w:r>
      <w:r w:rsidR="005147BE" w:rsidRPr="00095C89">
        <w:rPr>
          <w:rFonts w:ascii="Times New Roman" w:hAnsi="Times New Roman" w:cs="Times New Roman"/>
          <w:sz w:val="24"/>
          <w:szCs w:val="24"/>
        </w:rPr>
        <w:t xml:space="preserve">w tym </w:t>
      </w:r>
      <w:r w:rsidR="00ED459D" w:rsidRPr="00095C89">
        <w:rPr>
          <w:rFonts w:ascii="Times New Roman" w:hAnsi="Times New Roman" w:cs="Times New Roman"/>
          <w:sz w:val="24"/>
          <w:szCs w:val="24"/>
        </w:rPr>
        <w:t>mieszkań komunalnych</w:t>
      </w:r>
      <w:r w:rsidR="005147BE" w:rsidRPr="00095C89">
        <w:rPr>
          <w:rFonts w:ascii="Times New Roman" w:hAnsi="Times New Roman" w:cs="Times New Roman"/>
          <w:sz w:val="24"/>
          <w:szCs w:val="24"/>
        </w:rPr>
        <w:t xml:space="preserve"> oraz sprzedaży rozłożonych na raty w latach poprzednich</w:t>
      </w:r>
      <w:r w:rsidR="00ED459D" w:rsidRPr="00095C89">
        <w:rPr>
          <w:rFonts w:ascii="Times New Roman" w:hAnsi="Times New Roman" w:cs="Times New Roman"/>
          <w:sz w:val="24"/>
          <w:szCs w:val="24"/>
        </w:rPr>
        <w:t>.</w:t>
      </w:r>
      <w:r w:rsidR="00500297" w:rsidRPr="00095C89">
        <w:rPr>
          <w:rFonts w:ascii="Times New Roman" w:hAnsi="Times New Roman" w:cs="Times New Roman"/>
          <w:sz w:val="24"/>
          <w:szCs w:val="24"/>
        </w:rPr>
        <w:t xml:space="preserve"> </w:t>
      </w:r>
      <w:r w:rsidR="00190B43">
        <w:rPr>
          <w:rFonts w:ascii="Times New Roman" w:hAnsi="Times New Roman" w:cs="Times New Roman"/>
          <w:sz w:val="24"/>
          <w:szCs w:val="24"/>
        </w:rPr>
        <w:t xml:space="preserve">            </w:t>
      </w:r>
      <w:r w:rsidR="000B44A3">
        <w:rPr>
          <w:rFonts w:ascii="Times New Roman" w:hAnsi="Times New Roman" w:cs="Times New Roman"/>
          <w:sz w:val="24"/>
          <w:szCs w:val="24"/>
        </w:rPr>
        <w:t xml:space="preserve">Dokonano także aktualizacji wartości </w:t>
      </w:r>
      <w:r w:rsidR="00C22F65">
        <w:rPr>
          <w:rFonts w:ascii="Times New Roman" w:hAnsi="Times New Roman" w:cs="Times New Roman"/>
          <w:sz w:val="24"/>
          <w:szCs w:val="24"/>
        </w:rPr>
        <w:t xml:space="preserve">cen sprzedaży. </w:t>
      </w:r>
      <w:r w:rsidR="0054189D">
        <w:rPr>
          <w:rFonts w:ascii="Times New Roman" w:hAnsi="Times New Roman" w:cs="Times New Roman"/>
          <w:sz w:val="24"/>
          <w:szCs w:val="24"/>
        </w:rPr>
        <w:t xml:space="preserve">Plan sprzedaży majątku jest </w:t>
      </w:r>
      <w:r w:rsidR="00AD75C1">
        <w:rPr>
          <w:rFonts w:ascii="Times New Roman" w:hAnsi="Times New Roman" w:cs="Times New Roman"/>
          <w:sz w:val="24"/>
          <w:szCs w:val="24"/>
        </w:rPr>
        <w:t>powiązany</w:t>
      </w:r>
      <w:r w:rsidR="0054189D">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54189D">
        <w:rPr>
          <w:rFonts w:ascii="Times New Roman" w:hAnsi="Times New Roman" w:cs="Times New Roman"/>
          <w:sz w:val="24"/>
          <w:szCs w:val="24"/>
        </w:rPr>
        <w:t xml:space="preserve">z </w:t>
      </w:r>
      <w:r w:rsidR="00AD75C1">
        <w:rPr>
          <w:rFonts w:ascii="Times New Roman" w:hAnsi="Times New Roman" w:cs="Times New Roman"/>
          <w:sz w:val="24"/>
          <w:szCs w:val="24"/>
        </w:rPr>
        <w:t xml:space="preserve">planowanymi </w:t>
      </w:r>
      <w:r w:rsidR="0054189D">
        <w:rPr>
          <w:rFonts w:ascii="Times New Roman" w:hAnsi="Times New Roman" w:cs="Times New Roman"/>
          <w:sz w:val="24"/>
          <w:szCs w:val="24"/>
        </w:rPr>
        <w:t>zmianami planu zagospodarowania przestrzennego Gminy.</w:t>
      </w:r>
    </w:p>
    <w:p w14:paraId="55C9D4FB" w14:textId="61775786" w:rsidR="0010126E" w:rsidRPr="0056737C" w:rsidRDefault="00DF6E79" w:rsidP="00396F6F">
      <w:pPr>
        <w:spacing w:after="0" w:line="360" w:lineRule="auto"/>
        <w:jc w:val="both"/>
        <w:rPr>
          <w:rFonts w:ascii="Times New Roman" w:hAnsi="Times New Roman" w:cs="Times New Roman"/>
          <w:sz w:val="24"/>
          <w:szCs w:val="24"/>
        </w:rPr>
      </w:pPr>
      <w:r w:rsidRPr="00095C89">
        <w:rPr>
          <w:rFonts w:ascii="Times New Roman" w:hAnsi="Times New Roman" w:cs="Times New Roman"/>
          <w:sz w:val="24"/>
          <w:szCs w:val="24"/>
        </w:rPr>
        <w:lastRenderedPageBreak/>
        <w:t xml:space="preserve">Uwzględniono </w:t>
      </w:r>
      <w:r>
        <w:rPr>
          <w:rFonts w:ascii="Times New Roman" w:hAnsi="Times New Roman" w:cs="Times New Roman"/>
          <w:sz w:val="24"/>
          <w:szCs w:val="24"/>
        </w:rPr>
        <w:t xml:space="preserve">również </w:t>
      </w:r>
      <w:r w:rsidR="000C7360">
        <w:rPr>
          <w:rFonts w:ascii="Times New Roman" w:hAnsi="Times New Roman" w:cs="Times New Roman"/>
          <w:sz w:val="24"/>
          <w:szCs w:val="24"/>
        </w:rPr>
        <w:t>w roku 202</w:t>
      </w:r>
      <w:r w:rsidR="00D80B09">
        <w:rPr>
          <w:rFonts w:ascii="Times New Roman" w:hAnsi="Times New Roman" w:cs="Times New Roman"/>
          <w:sz w:val="24"/>
          <w:szCs w:val="24"/>
        </w:rPr>
        <w:t>5</w:t>
      </w:r>
      <w:r w:rsidR="000C7360">
        <w:rPr>
          <w:rFonts w:ascii="Times New Roman" w:hAnsi="Times New Roman" w:cs="Times New Roman"/>
          <w:sz w:val="24"/>
          <w:szCs w:val="24"/>
        </w:rPr>
        <w:t xml:space="preserve"> </w:t>
      </w:r>
      <w:r>
        <w:rPr>
          <w:rFonts w:ascii="Times New Roman" w:hAnsi="Times New Roman" w:cs="Times New Roman"/>
          <w:sz w:val="24"/>
          <w:szCs w:val="24"/>
        </w:rPr>
        <w:t>dofinansowanie z</w:t>
      </w:r>
      <w:r w:rsidR="00037339">
        <w:rPr>
          <w:rFonts w:ascii="Times New Roman" w:hAnsi="Times New Roman" w:cs="Times New Roman"/>
          <w:sz w:val="24"/>
          <w:szCs w:val="24"/>
        </w:rPr>
        <w:t xml:space="preserve"> Ministerstwa Sportu i Turystyki (</w:t>
      </w:r>
      <w:r w:rsidR="00D80B09">
        <w:rPr>
          <w:rFonts w:ascii="Times New Roman" w:hAnsi="Times New Roman" w:cs="Times New Roman"/>
          <w:sz w:val="24"/>
          <w:szCs w:val="24"/>
        </w:rPr>
        <w:t>4.</w:t>
      </w:r>
      <w:r w:rsidR="00037339">
        <w:rPr>
          <w:rFonts w:ascii="Times New Roman" w:hAnsi="Times New Roman" w:cs="Times New Roman"/>
          <w:sz w:val="24"/>
          <w:szCs w:val="24"/>
        </w:rPr>
        <w:t>000.000,00 zł)</w:t>
      </w:r>
      <w:r w:rsidR="00D80B09">
        <w:rPr>
          <w:rFonts w:ascii="Times New Roman" w:hAnsi="Times New Roman" w:cs="Times New Roman"/>
          <w:sz w:val="24"/>
          <w:szCs w:val="24"/>
        </w:rPr>
        <w:t xml:space="preserve"> </w:t>
      </w:r>
      <w:r w:rsidR="00C623C6">
        <w:rPr>
          <w:rFonts w:ascii="Times New Roman" w:hAnsi="Times New Roman" w:cs="Times New Roman"/>
          <w:sz w:val="24"/>
          <w:szCs w:val="24"/>
        </w:rPr>
        <w:t>oraz Powiatu Działdowski</w:t>
      </w:r>
      <w:r w:rsidR="008F76EB">
        <w:rPr>
          <w:rFonts w:ascii="Times New Roman" w:hAnsi="Times New Roman" w:cs="Times New Roman"/>
          <w:sz w:val="24"/>
          <w:szCs w:val="24"/>
        </w:rPr>
        <w:t>ego</w:t>
      </w:r>
      <w:r w:rsidR="00C623C6">
        <w:rPr>
          <w:rFonts w:ascii="Times New Roman" w:hAnsi="Times New Roman" w:cs="Times New Roman"/>
          <w:sz w:val="24"/>
          <w:szCs w:val="24"/>
        </w:rPr>
        <w:t xml:space="preserve"> (3.000.000,00 zł)</w:t>
      </w:r>
      <w:r>
        <w:rPr>
          <w:rFonts w:ascii="Times New Roman" w:hAnsi="Times New Roman" w:cs="Times New Roman"/>
          <w:sz w:val="24"/>
          <w:szCs w:val="24"/>
        </w:rPr>
        <w:t xml:space="preserve"> </w:t>
      </w:r>
      <w:r w:rsidR="008F76EB">
        <w:rPr>
          <w:rFonts w:ascii="Times New Roman" w:hAnsi="Times New Roman" w:cs="Times New Roman"/>
          <w:sz w:val="24"/>
          <w:szCs w:val="24"/>
        </w:rPr>
        <w:t xml:space="preserve">z </w:t>
      </w:r>
      <w:r w:rsidRPr="00095C89">
        <w:rPr>
          <w:rFonts w:ascii="Times New Roman" w:hAnsi="Times New Roman" w:cs="Times New Roman"/>
          <w:sz w:val="24"/>
          <w:szCs w:val="24"/>
        </w:rPr>
        <w:t>przeznacz</w:t>
      </w:r>
      <w:r>
        <w:rPr>
          <w:rFonts w:ascii="Times New Roman" w:hAnsi="Times New Roman" w:cs="Times New Roman"/>
          <w:sz w:val="24"/>
          <w:szCs w:val="24"/>
        </w:rPr>
        <w:t>eniem</w:t>
      </w:r>
      <w:r w:rsidRPr="00095C89">
        <w:rPr>
          <w:rFonts w:ascii="Times New Roman" w:hAnsi="Times New Roman" w:cs="Times New Roman"/>
          <w:sz w:val="24"/>
          <w:szCs w:val="24"/>
        </w:rPr>
        <w:t xml:space="preserve"> na realiz</w:t>
      </w:r>
      <w:r>
        <w:rPr>
          <w:rFonts w:ascii="Times New Roman" w:hAnsi="Times New Roman" w:cs="Times New Roman"/>
          <w:sz w:val="24"/>
          <w:szCs w:val="24"/>
        </w:rPr>
        <w:t>ację</w:t>
      </w:r>
      <w:r w:rsidRPr="00095C89">
        <w:rPr>
          <w:rFonts w:ascii="Times New Roman" w:hAnsi="Times New Roman" w:cs="Times New Roman"/>
          <w:sz w:val="24"/>
          <w:szCs w:val="24"/>
        </w:rPr>
        <w:t xml:space="preserve"> projekt</w:t>
      </w:r>
      <w:r>
        <w:rPr>
          <w:rFonts w:ascii="Times New Roman" w:hAnsi="Times New Roman" w:cs="Times New Roman"/>
          <w:sz w:val="24"/>
          <w:szCs w:val="24"/>
        </w:rPr>
        <w:t xml:space="preserve">u </w:t>
      </w:r>
      <w:bookmarkStart w:id="0" w:name="_Hlk119055629"/>
      <w:bookmarkStart w:id="1" w:name="_Hlk121139918"/>
      <w:r w:rsidR="00C623C6">
        <w:rPr>
          <w:rFonts w:ascii="Times New Roman" w:hAnsi="Times New Roman" w:cs="Times New Roman"/>
          <w:sz w:val="24"/>
          <w:szCs w:val="24"/>
        </w:rPr>
        <w:t xml:space="preserve">„Budowa </w:t>
      </w:r>
      <w:r w:rsidR="008F76EB">
        <w:rPr>
          <w:rFonts w:ascii="Times New Roman" w:hAnsi="Times New Roman" w:cs="Times New Roman"/>
          <w:sz w:val="24"/>
          <w:szCs w:val="24"/>
        </w:rPr>
        <w:t xml:space="preserve">krytego basenu </w:t>
      </w:r>
      <w:r w:rsidR="00C623C6">
        <w:rPr>
          <w:rFonts w:ascii="Times New Roman" w:hAnsi="Times New Roman" w:cs="Times New Roman"/>
          <w:sz w:val="24"/>
          <w:szCs w:val="24"/>
        </w:rPr>
        <w:t>w Działdowie”</w:t>
      </w:r>
      <w:bookmarkEnd w:id="0"/>
      <w:bookmarkEnd w:id="1"/>
      <w:r w:rsidR="00D80B09">
        <w:rPr>
          <w:rFonts w:ascii="Times New Roman" w:hAnsi="Times New Roman" w:cs="Times New Roman"/>
          <w:sz w:val="24"/>
          <w:szCs w:val="24"/>
        </w:rPr>
        <w:t>.</w:t>
      </w:r>
      <w:r w:rsidR="00C623C6">
        <w:rPr>
          <w:rFonts w:ascii="Times New Roman" w:hAnsi="Times New Roman" w:cs="Times New Roman"/>
          <w:sz w:val="24"/>
          <w:szCs w:val="24"/>
        </w:rPr>
        <w:t xml:space="preserve"> W roku 202</w:t>
      </w:r>
      <w:r w:rsidR="00D80B09">
        <w:rPr>
          <w:rFonts w:ascii="Times New Roman" w:hAnsi="Times New Roman" w:cs="Times New Roman"/>
          <w:sz w:val="24"/>
          <w:szCs w:val="24"/>
        </w:rPr>
        <w:t>6</w:t>
      </w:r>
      <w:r w:rsidR="00C623C6">
        <w:rPr>
          <w:rFonts w:ascii="Times New Roman" w:hAnsi="Times New Roman" w:cs="Times New Roman"/>
          <w:sz w:val="24"/>
          <w:szCs w:val="24"/>
        </w:rPr>
        <w:t xml:space="preserve"> Gmina planuje uzyskać kolejne dochody na realizację inwestycji </w:t>
      </w:r>
      <w:r w:rsidR="00F10105">
        <w:rPr>
          <w:rFonts w:ascii="Times New Roman" w:hAnsi="Times New Roman" w:cs="Times New Roman"/>
          <w:sz w:val="24"/>
          <w:szCs w:val="24"/>
        </w:rPr>
        <w:t xml:space="preserve">„Budowa krytego basenu w Działdowie” </w:t>
      </w:r>
      <w:r w:rsidR="00D80B09">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C623C6">
        <w:rPr>
          <w:rFonts w:ascii="Times New Roman" w:hAnsi="Times New Roman" w:cs="Times New Roman"/>
          <w:sz w:val="24"/>
          <w:szCs w:val="24"/>
        </w:rPr>
        <w:t>w wysokości 1</w:t>
      </w:r>
      <w:r w:rsidR="00D80B09">
        <w:rPr>
          <w:rFonts w:ascii="Times New Roman" w:hAnsi="Times New Roman" w:cs="Times New Roman"/>
          <w:sz w:val="24"/>
          <w:szCs w:val="24"/>
        </w:rPr>
        <w:t>7</w:t>
      </w:r>
      <w:r w:rsidR="00C623C6">
        <w:rPr>
          <w:rFonts w:ascii="Times New Roman" w:hAnsi="Times New Roman" w:cs="Times New Roman"/>
          <w:sz w:val="24"/>
          <w:szCs w:val="24"/>
        </w:rPr>
        <w:t>.</w:t>
      </w:r>
      <w:r w:rsidR="00D80B09">
        <w:rPr>
          <w:rFonts w:ascii="Times New Roman" w:hAnsi="Times New Roman" w:cs="Times New Roman"/>
          <w:sz w:val="24"/>
          <w:szCs w:val="24"/>
        </w:rPr>
        <w:t>0</w:t>
      </w:r>
      <w:r w:rsidR="00C623C6">
        <w:rPr>
          <w:rFonts w:ascii="Times New Roman" w:hAnsi="Times New Roman" w:cs="Times New Roman"/>
          <w:sz w:val="24"/>
          <w:szCs w:val="24"/>
        </w:rPr>
        <w:t>00.000,00 zł (</w:t>
      </w:r>
      <w:r w:rsidR="00D80B09">
        <w:rPr>
          <w:rFonts w:ascii="Times New Roman" w:hAnsi="Times New Roman" w:cs="Times New Roman"/>
          <w:sz w:val="24"/>
          <w:szCs w:val="24"/>
        </w:rPr>
        <w:t>2.</w:t>
      </w:r>
      <w:r w:rsidR="00C623C6">
        <w:rPr>
          <w:rFonts w:ascii="Times New Roman" w:hAnsi="Times New Roman" w:cs="Times New Roman"/>
          <w:sz w:val="24"/>
          <w:szCs w:val="24"/>
        </w:rPr>
        <w:t xml:space="preserve">000.000,00 zł </w:t>
      </w:r>
      <w:proofErr w:type="spellStart"/>
      <w:r w:rsidR="00C623C6">
        <w:rPr>
          <w:rFonts w:ascii="Times New Roman" w:hAnsi="Times New Roman" w:cs="Times New Roman"/>
          <w:sz w:val="24"/>
          <w:szCs w:val="24"/>
        </w:rPr>
        <w:t>MSiT</w:t>
      </w:r>
      <w:proofErr w:type="spellEnd"/>
      <w:r w:rsidR="00C623C6">
        <w:rPr>
          <w:rFonts w:ascii="Times New Roman" w:hAnsi="Times New Roman" w:cs="Times New Roman"/>
          <w:sz w:val="24"/>
          <w:szCs w:val="24"/>
        </w:rPr>
        <w:t xml:space="preserve"> oraz </w:t>
      </w:r>
      <w:r w:rsidR="00C22F65">
        <w:rPr>
          <w:rFonts w:ascii="Times New Roman" w:hAnsi="Times New Roman" w:cs="Times New Roman"/>
          <w:sz w:val="24"/>
          <w:szCs w:val="24"/>
        </w:rPr>
        <w:t>15.00</w:t>
      </w:r>
      <w:r w:rsidR="00C623C6">
        <w:rPr>
          <w:rFonts w:ascii="Times New Roman" w:hAnsi="Times New Roman" w:cs="Times New Roman"/>
          <w:sz w:val="24"/>
          <w:szCs w:val="24"/>
        </w:rPr>
        <w:t xml:space="preserve">0.000,00 zł </w:t>
      </w:r>
      <w:r w:rsidR="00D80B09">
        <w:rPr>
          <w:rFonts w:ascii="Times New Roman" w:hAnsi="Times New Roman" w:cs="Times New Roman"/>
          <w:sz w:val="24"/>
          <w:szCs w:val="24"/>
        </w:rPr>
        <w:t>Polski Ład-</w:t>
      </w:r>
      <w:r w:rsidR="00C623C6">
        <w:rPr>
          <w:rFonts w:ascii="Times New Roman" w:hAnsi="Times New Roman" w:cs="Times New Roman"/>
          <w:sz w:val="24"/>
          <w:szCs w:val="24"/>
        </w:rPr>
        <w:t>P</w:t>
      </w:r>
      <w:r w:rsidR="00B105C3">
        <w:rPr>
          <w:rFonts w:ascii="Times New Roman" w:hAnsi="Times New Roman" w:cs="Times New Roman"/>
          <w:sz w:val="24"/>
          <w:szCs w:val="24"/>
        </w:rPr>
        <w:t>rogram Inwestycji Strategicznych</w:t>
      </w:r>
      <w:r w:rsidR="00C623C6">
        <w:rPr>
          <w:rFonts w:ascii="Times New Roman" w:hAnsi="Times New Roman" w:cs="Times New Roman"/>
          <w:sz w:val="24"/>
          <w:szCs w:val="24"/>
        </w:rPr>
        <w:t>)</w:t>
      </w:r>
      <w:r w:rsidR="00B105C3">
        <w:rPr>
          <w:rFonts w:ascii="Times New Roman" w:hAnsi="Times New Roman" w:cs="Times New Roman"/>
          <w:sz w:val="24"/>
          <w:szCs w:val="24"/>
        </w:rPr>
        <w:t>. Gmina dysponuje wstępną promesą BGK w zakresie „Budowy krytego basenu w Działdowie”</w:t>
      </w:r>
      <w:r w:rsidR="0056737C">
        <w:rPr>
          <w:rFonts w:ascii="Times New Roman" w:hAnsi="Times New Roman" w:cs="Times New Roman"/>
          <w:sz w:val="24"/>
          <w:szCs w:val="24"/>
        </w:rPr>
        <w:t xml:space="preserve"> na kwotę 15.000.000,00 zł</w:t>
      </w:r>
      <w:r w:rsidR="0003038A">
        <w:rPr>
          <w:rFonts w:ascii="Times New Roman" w:hAnsi="Times New Roman" w:cs="Times New Roman"/>
          <w:sz w:val="24"/>
          <w:szCs w:val="24"/>
        </w:rPr>
        <w:t xml:space="preserve"> (2026 r.)</w:t>
      </w:r>
      <w:r w:rsidR="0056737C">
        <w:rPr>
          <w:rFonts w:ascii="Times New Roman" w:hAnsi="Times New Roman" w:cs="Times New Roman"/>
          <w:sz w:val="24"/>
          <w:szCs w:val="24"/>
        </w:rPr>
        <w:t xml:space="preserve"> oraz umową</w:t>
      </w:r>
      <w:r w:rsidR="00AC0245">
        <w:rPr>
          <w:rFonts w:ascii="Times New Roman" w:hAnsi="Times New Roman" w:cs="Times New Roman"/>
          <w:sz w:val="24"/>
          <w:szCs w:val="24"/>
        </w:rPr>
        <w:t xml:space="preserve">                       </w:t>
      </w:r>
      <w:r w:rsidR="0056737C">
        <w:rPr>
          <w:rFonts w:ascii="Times New Roman" w:hAnsi="Times New Roman" w:cs="Times New Roman"/>
          <w:sz w:val="24"/>
          <w:szCs w:val="24"/>
        </w:rPr>
        <w:t>z Ministerstwem Sportu i Turystyki z Rządowego Funduszu Kultury Fizycznej na kwotę 10.000.000,00 zł</w:t>
      </w:r>
      <w:r w:rsidR="0003038A">
        <w:rPr>
          <w:rFonts w:ascii="Times New Roman" w:hAnsi="Times New Roman" w:cs="Times New Roman"/>
          <w:sz w:val="24"/>
          <w:szCs w:val="24"/>
        </w:rPr>
        <w:t xml:space="preserve"> (2024-2026)</w:t>
      </w:r>
    </w:p>
    <w:p w14:paraId="57A78840" w14:textId="2B93F898" w:rsidR="008B7EB7" w:rsidRDefault="008B7EB7" w:rsidP="00396F6F">
      <w:pPr>
        <w:spacing w:after="0" w:line="360" w:lineRule="auto"/>
        <w:jc w:val="both"/>
        <w:rPr>
          <w:noProof/>
        </w:rPr>
      </w:pPr>
    </w:p>
    <w:p w14:paraId="66B49CCF" w14:textId="62539377" w:rsidR="008B7EB7" w:rsidRDefault="0056737C" w:rsidP="00396F6F">
      <w:pPr>
        <w:spacing w:after="0" w:line="360" w:lineRule="auto"/>
        <w:jc w:val="both"/>
        <w:rPr>
          <w:noProof/>
        </w:rPr>
      </w:pPr>
      <w:r>
        <w:rPr>
          <w:noProof/>
        </w:rPr>
        <w:drawing>
          <wp:inline distT="0" distB="0" distL="0" distR="0" wp14:anchorId="3B4D27FA" wp14:editId="2CAAA6AA">
            <wp:extent cx="5848350" cy="3295650"/>
            <wp:effectExtent l="0" t="0" r="0" b="0"/>
            <wp:docPr id="674869308" name="Wykres 1">
              <a:extLst xmlns:a="http://schemas.openxmlformats.org/drawingml/2006/main">
                <a:ext uri="{FF2B5EF4-FFF2-40B4-BE49-F238E27FC236}">
                  <a16:creationId xmlns:a16="http://schemas.microsoft.com/office/drawing/2014/main" id="{932CC655-C7ED-6A9E-ADD3-660D4D11B2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27D5DA08" w14:textId="51F7E024" w:rsidR="00FF545E" w:rsidRDefault="00FF545E" w:rsidP="00FF545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Struktura planowanych dochodów w latach 20</w:t>
      </w:r>
      <w:r w:rsidR="000916A0">
        <w:rPr>
          <w:rFonts w:ascii="Times New Roman" w:hAnsi="Times New Roman" w:cs="Times New Roman"/>
          <w:sz w:val="24"/>
          <w:szCs w:val="24"/>
        </w:rPr>
        <w:t>2</w:t>
      </w:r>
      <w:r w:rsidR="0056737C">
        <w:rPr>
          <w:rFonts w:ascii="Times New Roman" w:hAnsi="Times New Roman" w:cs="Times New Roman"/>
          <w:sz w:val="24"/>
          <w:szCs w:val="24"/>
        </w:rPr>
        <w:t>4</w:t>
      </w:r>
      <w:r>
        <w:rPr>
          <w:rFonts w:ascii="Times New Roman" w:hAnsi="Times New Roman" w:cs="Times New Roman"/>
          <w:sz w:val="24"/>
          <w:szCs w:val="24"/>
        </w:rPr>
        <w:t>-20</w:t>
      </w:r>
      <w:r w:rsidR="000916A0">
        <w:rPr>
          <w:rFonts w:ascii="Times New Roman" w:hAnsi="Times New Roman" w:cs="Times New Roman"/>
          <w:sz w:val="24"/>
          <w:szCs w:val="24"/>
        </w:rPr>
        <w:t>30</w:t>
      </w:r>
    </w:p>
    <w:p w14:paraId="521A3142" w14:textId="77777777" w:rsidR="00C13BD2" w:rsidRPr="00DB2B89" w:rsidRDefault="00C13BD2" w:rsidP="00396F6F">
      <w:pPr>
        <w:spacing w:after="0" w:line="360" w:lineRule="auto"/>
        <w:jc w:val="both"/>
        <w:rPr>
          <w:rFonts w:ascii="Times New Roman" w:hAnsi="Times New Roman" w:cs="Times New Roman"/>
          <w:sz w:val="24"/>
          <w:szCs w:val="24"/>
        </w:rPr>
      </w:pPr>
    </w:p>
    <w:p w14:paraId="51E08E56" w14:textId="77777777" w:rsidR="009A72E8" w:rsidRPr="00583CA4" w:rsidRDefault="009A72E8" w:rsidP="00396F6F">
      <w:pPr>
        <w:pStyle w:val="Akapitzlist"/>
        <w:numPr>
          <w:ilvl w:val="0"/>
          <w:numId w:val="1"/>
        </w:numPr>
        <w:spacing w:after="0" w:line="360" w:lineRule="auto"/>
        <w:ind w:left="284" w:hanging="284"/>
        <w:rPr>
          <w:rFonts w:ascii="Times New Roman" w:hAnsi="Times New Roman" w:cs="Times New Roman"/>
          <w:b/>
          <w:sz w:val="24"/>
          <w:szCs w:val="24"/>
        </w:rPr>
      </w:pPr>
      <w:r w:rsidRPr="00583CA4">
        <w:rPr>
          <w:rFonts w:ascii="Times New Roman" w:hAnsi="Times New Roman" w:cs="Times New Roman"/>
          <w:b/>
          <w:sz w:val="24"/>
          <w:szCs w:val="24"/>
        </w:rPr>
        <w:t>Prognoza wydatków</w:t>
      </w:r>
    </w:p>
    <w:p w14:paraId="2EC15F85" w14:textId="17D24881" w:rsidR="00084B6C" w:rsidRPr="00583CA4" w:rsidRDefault="009A72E8" w:rsidP="00396F6F">
      <w:pPr>
        <w:spacing w:after="0" w:line="360" w:lineRule="auto"/>
        <w:jc w:val="both"/>
        <w:rPr>
          <w:rFonts w:ascii="Times New Roman" w:hAnsi="Times New Roman" w:cs="Times New Roman"/>
          <w:sz w:val="24"/>
          <w:szCs w:val="24"/>
        </w:rPr>
      </w:pPr>
      <w:r w:rsidRPr="00583CA4">
        <w:rPr>
          <w:rFonts w:ascii="Times New Roman" w:hAnsi="Times New Roman" w:cs="Times New Roman"/>
          <w:sz w:val="24"/>
          <w:szCs w:val="24"/>
        </w:rPr>
        <w:t xml:space="preserve">Podobnie jak dochody, wydatki podzielono przy prognozowaniu na kategorie wydatków bieżących i wydatków majątkowych. </w:t>
      </w:r>
      <w:r w:rsidR="00A17835" w:rsidRPr="00583CA4">
        <w:rPr>
          <w:rFonts w:ascii="Times New Roman" w:hAnsi="Times New Roman" w:cs="Times New Roman"/>
          <w:sz w:val="24"/>
          <w:szCs w:val="24"/>
        </w:rPr>
        <w:t>Wydatki bieżące</w:t>
      </w:r>
      <w:r w:rsidR="005147BE" w:rsidRPr="00583CA4">
        <w:rPr>
          <w:rFonts w:ascii="Times New Roman" w:hAnsi="Times New Roman" w:cs="Times New Roman"/>
          <w:sz w:val="24"/>
          <w:szCs w:val="24"/>
        </w:rPr>
        <w:t xml:space="preserve"> rozpatrywano w kategoriach wydatków stałych takich jak</w:t>
      </w:r>
      <w:r w:rsidR="006A360D" w:rsidRPr="00583CA4">
        <w:rPr>
          <w:rFonts w:ascii="Times New Roman" w:hAnsi="Times New Roman" w:cs="Times New Roman"/>
          <w:sz w:val="24"/>
          <w:szCs w:val="24"/>
        </w:rPr>
        <w:t>:</w:t>
      </w:r>
      <w:r w:rsidR="005147BE" w:rsidRPr="00583CA4">
        <w:rPr>
          <w:rFonts w:ascii="Times New Roman" w:hAnsi="Times New Roman" w:cs="Times New Roman"/>
          <w:sz w:val="24"/>
          <w:szCs w:val="24"/>
        </w:rPr>
        <w:t xml:space="preserve"> wynagrodzenia i ich pochodne, </w:t>
      </w:r>
      <w:r w:rsidR="00DA1D9F">
        <w:rPr>
          <w:rFonts w:ascii="Times New Roman" w:hAnsi="Times New Roman" w:cs="Times New Roman"/>
          <w:sz w:val="24"/>
          <w:szCs w:val="24"/>
        </w:rPr>
        <w:t xml:space="preserve">wypłacane świadczenia na rzecz osób fizycznych, </w:t>
      </w:r>
      <w:r w:rsidR="005147BE" w:rsidRPr="00583CA4">
        <w:rPr>
          <w:rFonts w:ascii="Times New Roman" w:hAnsi="Times New Roman" w:cs="Times New Roman"/>
          <w:sz w:val="24"/>
          <w:szCs w:val="24"/>
        </w:rPr>
        <w:t>wydatki na prowadzenie działalności statutowej jednostek</w:t>
      </w:r>
      <w:r w:rsidR="00610C81">
        <w:rPr>
          <w:rFonts w:ascii="Times New Roman" w:hAnsi="Times New Roman" w:cs="Times New Roman"/>
          <w:sz w:val="24"/>
          <w:szCs w:val="24"/>
        </w:rPr>
        <w:t xml:space="preserve">, dotacje podmiotowe </w:t>
      </w:r>
      <w:r w:rsidR="00AC0245">
        <w:rPr>
          <w:rFonts w:ascii="Times New Roman" w:hAnsi="Times New Roman" w:cs="Times New Roman"/>
          <w:sz w:val="24"/>
          <w:szCs w:val="24"/>
        </w:rPr>
        <w:t xml:space="preserve">     </w:t>
      </w:r>
      <w:r w:rsidR="00610C81">
        <w:rPr>
          <w:rFonts w:ascii="Times New Roman" w:hAnsi="Times New Roman" w:cs="Times New Roman"/>
          <w:sz w:val="24"/>
          <w:szCs w:val="24"/>
        </w:rPr>
        <w:t>i celowe.</w:t>
      </w:r>
    </w:p>
    <w:p w14:paraId="4B7A48D5" w14:textId="4BA6123A" w:rsidR="00FF545E" w:rsidRDefault="00FF545E" w:rsidP="00FF545E">
      <w:pPr>
        <w:spacing w:after="0" w:line="360" w:lineRule="auto"/>
        <w:jc w:val="both"/>
        <w:rPr>
          <w:rFonts w:ascii="Times New Roman" w:hAnsi="Times New Roman" w:cs="Times New Roman"/>
          <w:sz w:val="24"/>
          <w:szCs w:val="24"/>
        </w:rPr>
      </w:pPr>
      <w:r w:rsidRPr="00583CA4">
        <w:rPr>
          <w:rFonts w:ascii="Times New Roman" w:hAnsi="Times New Roman" w:cs="Times New Roman"/>
          <w:sz w:val="24"/>
          <w:szCs w:val="24"/>
        </w:rPr>
        <w:t>W latach 20</w:t>
      </w:r>
      <w:r w:rsidR="00BC252B" w:rsidRPr="00583CA4">
        <w:rPr>
          <w:rFonts w:ascii="Times New Roman" w:hAnsi="Times New Roman" w:cs="Times New Roman"/>
          <w:sz w:val="24"/>
          <w:szCs w:val="24"/>
        </w:rPr>
        <w:t>2</w:t>
      </w:r>
      <w:r w:rsidR="00610C81">
        <w:rPr>
          <w:rFonts w:ascii="Times New Roman" w:hAnsi="Times New Roman" w:cs="Times New Roman"/>
          <w:sz w:val="24"/>
          <w:szCs w:val="24"/>
        </w:rPr>
        <w:t>5</w:t>
      </w:r>
      <w:r w:rsidRPr="00583CA4">
        <w:rPr>
          <w:rFonts w:ascii="Times New Roman" w:hAnsi="Times New Roman" w:cs="Times New Roman"/>
          <w:sz w:val="24"/>
          <w:szCs w:val="24"/>
        </w:rPr>
        <w:t xml:space="preserve"> – 20</w:t>
      </w:r>
      <w:r w:rsidR="009C4E34">
        <w:rPr>
          <w:rFonts w:ascii="Times New Roman" w:hAnsi="Times New Roman" w:cs="Times New Roman"/>
          <w:sz w:val="24"/>
          <w:szCs w:val="24"/>
        </w:rPr>
        <w:t>30</w:t>
      </w:r>
      <w:r w:rsidRPr="00583CA4">
        <w:rPr>
          <w:rFonts w:ascii="Times New Roman" w:hAnsi="Times New Roman" w:cs="Times New Roman"/>
          <w:sz w:val="24"/>
          <w:szCs w:val="24"/>
        </w:rPr>
        <w:t xml:space="preserve"> sposób prognozowania wydatków bieżących o stałym charakterze jest oparty o przewidywany wskaźnik inflacji</w:t>
      </w:r>
      <w:r w:rsidR="00821D15">
        <w:rPr>
          <w:rFonts w:ascii="Times New Roman" w:hAnsi="Times New Roman" w:cs="Times New Roman"/>
          <w:sz w:val="24"/>
          <w:szCs w:val="24"/>
        </w:rPr>
        <w:t xml:space="preserve">. </w:t>
      </w:r>
      <w:r w:rsidRPr="00583CA4">
        <w:rPr>
          <w:rFonts w:ascii="Times New Roman" w:hAnsi="Times New Roman" w:cs="Times New Roman"/>
          <w:sz w:val="24"/>
          <w:szCs w:val="24"/>
        </w:rPr>
        <w:t>Dane dotyczące roku 20</w:t>
      </w:r>
      <w:r w:rsidR="00AA6961">
        <w:rPr>
          <w:rFonts w:ascii="Times New Roman" w:hAnsi="Times New Roman" w:cs="Times New Roman"/>
          <w:sz w:val="24"/>
          <w:szCs w:val="24"/>
        </w:rPr>
        <w:t>2</w:t>
      </w:r>
      <w:r w:rsidR="009C4E34">
        <w:rPr>
          <w:rFonts w:ascii="Times New Roman" w:hAnsi="Times New Roman" w:cs="Times New Roman"/>
          <w:sz w:val="24"/>
          <w:szCs w:val="24"/>
        </w:rPr>
        <w:t>4</w:t>
      </w:r>
      <w:r w:rsidRPr="00583CA4">
        <w:rPr>
          <w:rFonts w:ascii="Times New Roman" w:hAnsi="Times New Roman" w:cs="Times New Roman"/>
          <w:sz w:val="24"/>
          <w:szCs w:val="24"/>
        </w:rPr>
        <w:t xml:space="preserve"> </w:t>
      </w:r>
      <w:r w:rsidR="00534A07">
        <w:rPr>
          <w:rFonts w:ascii="Times New Roman" w:hAnsi="Times New Roman" w:cs="Times New Roman"/>
          <w:sz w:val="24"/>
          <w:szCs w:val="24"/>
        </w:rPr>
        <w:t>powiązane</w:t>
      </w:r>
      <w:r w:rsidR="00786999">
        <w:rPr>
          <w:rFonts w:ascii="Times New Roman" w:hAnsi="Times New Roman" w:cs="Times New Roman"/>
          <w:sz w:val="24"/>
          <w:szCs w:val="24"/>
        </w:rPr>
        <w:t xml:space="preserve"> </w:t>
      </w:r>
      <w:r w:rsidR="00534A07">
        <w:rPr>
          <w:rFonts w:ascii="Times New Roman" w:hAnsi="Times New Roman" w:cs="Times New Roman"/>
          <w:sz w:val="24"/>
          <w:szCs w:val="24"/>
        </w:rPr>
        <w:t xml:space="preserve">są </w:t>
      </w:r>
      <w:r w:rsidR="00C9684A">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534A07">
        <w:rPr>
          <w:rFonts w:ascii="Times New Roman" w:hAnsi="Times New Roman" w:cs="Times New Roman"/>
          <w:sz w:val="24"/>
          <w:szCs w:val="24"/>
        </w:rPr>
        <w:t xml:space="preserve">z </w:t>
      </w:r>
      <w:r w:rsidRPr="00583CA4">
        <w:rPr>
          <w:rFonts w:ascii="Times New Roman" w:hAnsi="Times New Roman" w:cs="Times New Roman"/>
          <w:sz w:val="24"/>
          <w:szCs w:val="24"/>
        </w:rPr>
        <w:t>budżet</w:t>
      </w:r>
      <w:r w:rsidR="00534A07">
        <w:rPr>
          <w:rFonts w:ascii="Times New Roman" w:hAnsi="Times New Roman" w:cs="Times New Roman"/>
          <w:sz w:val="24"/>
          <w:szCs w:val="24"/>
        </w:rPr>
        <w:t xml:space="preserve">em </w:t>
      </w:r>
      <w:r w:rsidRPr="00583CA4">
        <w:rPr>
          <w:rFonts w:ascii="Times New Roman" w:hAnsi="Times New Roman" w:cs="Times New Roman"/>
          <w:sz w:val="24"/>
          <w:szCs w:val="24"/>
        </w:rPr>
        <w:t>tego roku.</w:t>
      </w:r>
      <w:r w:rsidR="00821D15">
        <w:rPr>
          <w:rFonts w:ascii="Times New Roman" w:hAnsi="Times New Roman" w:cs="Times New Roman"/>
          <w:sz w:val="24"/>
          <w:szCs w:val="24"/>
        </w:rPr>
        <w:t xml:space="preserve"> </w:t>
      </w:r>
      <w:r w:rsidR="00610C81">
        <w:rPr>
          <w:rFonts w:ascii="Times New Roman" w:hAnsi="Times New Roman" w:cs="Times New Roman"/>
          <w:sz w:val="24"/>
          <w:szCs w:val="24"/>
        </w:rPr>
        <w:t xml:space="preserve">Kwotę bazową w zakresie wynagrodzeń i pochodnych zmniejszono </w:t>
      </w:r>
      <w:r w:rsidR="0056737C">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610C81">
        <w:rPr>
          <w:rFonts w:ascii="Times New Roman" w:hAnsi="Times New Roman" w:cs="Times New Roman"/>
          <w:sz w:val="24"/>
          <w:szCs w:val="24"/>
        </w:rPr>
        <w:t xml:space="preserve">o nieperiodyczne wypłaty wynagrodzeń, które w znacznej mierze przypadły na rok 2024. </w:t>
      </w:r>
      <w:r w:rsidR="003D1BA7">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610C81">
        <w:rPr>
          <w:rFonts w:ascii="Times New Roman" w:hAnsi="Times New Roman" w:cs="Times New Roman"/>
          <w:sz w:val="24"/>
          <w:szCs w:val="24"/>
        </w:rPr>
        <w:lastRenderedPageBreak/>
        <w:t xml:space="preserve">Po czym plan zwaloryzowano o wskaźniki inflacji. </w:t>
      </w:r>
      <w:r w:rsidR="009C4E34">
        <w:rPr>
          <w:rFonts w:ascii="Times New Roman" w:hAnsi="Times New Roman" w:cs="Times New Roman"/>
          <w:sz w:val="24"/>
          <w:szCs w:val="24"/>
        </w:rPr>
        <w:t xml:space="preserve">W związku z dużym nakładem finansowym na </w:t>
      </w:r>
      <w:r w:rsidR="00C22F65">
        <w:rPr>
          <w:rFonts w:ascii="Times New Roman" w:hAnsi="Times New Roman" w:cs="Times New Roman"/>
          <w:sz w:val="24"/>
          <w:szCs w:val="24"/>
        </w:rPr>
        <w:t>wydatki</w:t>
      </w:r>
      <w:r w:rsidR="009C4E34">
        <w:rPr>
          <w:rFonts w:ascii="Times New Roman" w:hAnsi="Times New Roman" w:cs="Times New Roman"/>
          <w:sz w:val="24"/>
          <w:szCs w:val="24"/>
        </w:rPr>
        <w:t xml:space="preserve"> majątkowe w latach 202</w:t>
      </w:r>
      <w:r w:rsidR="006D72B0">
        <w:rPr>
          <w:rFonts w:ascii="Times New Roman" w:hAnsi="Times New Roman" w:cs="Times New Roman"/>
          <w:sz w:val="24"/>
          <w:szCs w:val="24"/>
        </w:rPr>
        <w:t>5</w:t>
      </w:r>
      <w:r w:rsidR="009C4E34">
        <w:rPr>
          <w:rFonts w:ascii="Times New Roman" w:hAnsi="Times New Roman" w:cs="Times New Roman"/>
          <w:sz w:val="24"/>
          <w:szCs w:val="24"/>
        </w:rPr>
        <w:t>-2026</w:t>
      </w:r>
      <w:r w:rsidR="005B3FCC">
        <w:rPr>
          <w:rFonts w:ascii="Times New Roman" w:hAnsi="Times New Roman" w:cs="Times New Roman"/>
          <w:sz w:val="24"/>
          <w:szCs w:val="24"/>
        </w:rPr>
        <w:t>,</w:t>
      </w:r>
      <w:r w:rsidR="009C4E34">
        <w:rPr>
          <w:rFonts w:ascii="Times New Roman" w:hAnsi="Times New Roman" w:cs="Times New Roman"/>
          <w:sz w:val="24"/>
          <w:szCs w:val="24"/>
        </w:rPr>
        <w:t xml:space="preserve"> </w:t>
      </w:r>
      <w:r w:rsidR="006D72B0">
        <w:rPr>
          <w:rFonts w:ascii="Times New Roman" w:hAnsi="Times New Roman" w:cs="Times New Roman"/>
          <w:sz w:val="24"/>
          <w:szCs w:val="24"/>
        </w:rPr>
        <w:t xml:space="preserve">w kolejnych latach </w:t>
      </w:r>
      <w:r w:rsidR="009C4E34">
        <w:rPr>
          <w:rFonts w:ascii="Times New Roman" w:hAnsi="Times New Roman" w:cs="Times New Roman"/>
          <w:sz w:val="24"/>
          <w:szCs w:val="24"/>
        </w:rPr>
        <w:t xml:space="preserve">ograniczono </w:t>
      </w:r>
      <w:r w:rsidR="00610C81">
        <w:rPr>
          <w:rFonts w:ascii="Times New Roman" w:hAnsi="Times New Roman" w:cs="Times New Roman"/>
          <w:sz w:val="24"/>
          <w:szCs w:val="24"/>
        </w:rPr>
        <w:t xml:space="preserve">do ok 2% wzrostu </w:t>
      </w:r>
      <w:r w:rsidR="009C4E34">
        <w:rPr>
          <w:rFonts w:ascii="Times New Roman" w:hAnsi="Times New Roman" w:cs="Times New Roman"/>
          <w:sz w:val="24"/>
          <w:szCs w:val="24"/>
        </w:rPr>
        <w:t xml:space="preserve"> wydatki </w:t>
      </w:r>
      <w:r w:rsidR="00C22F65">
        <w:rPr>
          <w:rFonts w:ascii="Times New Roman" w:hAnsi="Times New Roman" w:cs="Times New Roman"/>
          <w:sz w:val="24"/>
          <w:szCs w:val="24"/>
        </w:rPr>
        <w:t xml:space="preserve">bieżące </w:t>
      </w:r>
      <w:r w:rsidR="009C4E34">
        <w:rPr>
          <w:rFonts w:ascii="Times New Roman" w:hAnsi="Times New Roman" w:cs="Times New Roman"/>
          <w:sz w:val="24"/>
          <w:szCs w:val="24"/>
        </w:rPr>
        <w:t xml:space="preserve">związane z działalnością statutową jednostek </w:t>
      </w:r>
      <w:r w:rsidR="00610C81">
        <w:rPr>
          <w:rFonts w:ascii="Times New Roman" w:hAnsi="Times New Roman" w:cs="Times New Roman"/>
          <w:sz w:val="24"/>
          <w:szCs w:val="24"/>
        </w:rPr>
        <w:t>takie jak: w</w:t>
      </w:r>
      <w:r w:rsidR="009C4E34">
        <w:rPr>
          <w:rFonts w:ascii="Times New Roman" w:hAnsi="Times New Roman" w:cs="Times New Roman"/>
          <w:sz w:val="24"/>
          <w:szCs w:val="24"/>
        </w:rPr>
        <w:t>ydatki na zakup materiałów i wyposażenia, zakup usług pozostałych, remonty</w:t>
      </w:r>
      <w:r w:rsidR="00373B69">
        <w:rPr>
          <w:rFonts w:ascii="Times New Roman" w:hAnsi="Times New Roman" w:cs="Times New Roman"/>
          <w:sz w:val="24"/>
          <w:szCs w:val="24"/>
        </w:rPr>
        <w:t>,</w:t>
      </w:r>
      <w:r w:rsidR="009C4E34">
        <w:rPr>
          <w:rFonts w:ascii="Times New Roman" w:hAnsi="Times New Roman" w:cs="Times New Roman"/>
          <w:sz w:val="24"/>
          <w:szCs w:val="24"/>
        </w:rPr>
        <w:t xml:space="preserve"> szkolenia pracowników</w:t>
      </w:r>
      <w:r w:rsidR="00373B69">
        <w:rPr>
          <w:rFonts w:ascii="Times New Roman" w:hAnsi="Times New Roman" w:cs="Times New Roman"/>
          <w:sz w:val="24"/>
          <w:szCs w:val="24"/>
        </w:rPr>
        <w:t xml:space="preserve"> oraz </w:t>
      </w:r>
      <w:r w:rsidR="00610C81">
        <w:rPr>
          <w:rFonts w:ascii="Times New Roman" w:hAnsi="Times New Roman" w:cs="Times New Roman"/>
          <w:sz w:val="24"/>
          <w:szCs w:val="24"/>
        </w:rPr>
        <w:t>podróże służbowe.</w:t>
      </w:r>
      <w:r w:rsidR="006D72B0">
        <w:rPr>
          <w:rFonts w:ascii="Times New Roman" w:hAnsi="Times New Roman" w:cs="Times New Roman"/>
          <w:sz w:val="24"/>
          <w:szCs w:val="24"/>
        </w:rPr>
        <w:t xml:space="preserve"> Wydatki o charakterze dotacji przyjęto na poziomie 109% przewidywanego wykonania roku 2023.</w:t>
      </w:r>
    </w:p>
    <w:p w14:paraId="6C199A5C" w14:textId="054A25FB" w:rsidR="00C247DC" w:rsidRPr="00583CA4" w:rsidRDefault="00C247DC" w:rsidP="00396F6F">
      <w:pPr>
        <w:spacing w:after="0" w:line="360" w:lineRule="auto"/>
        <w:jc w:val="both"/>
        <w:rPr>
          <w:rFonts w:ascii="Times New Roman" w:hAnsi="Times New Roman" w:cs="Times New Roman"/>
          <w:sz w:val="24"/>
          <w:szCs w:val="24"/>
        </w:rPr>
      </w:pPr>
      <w:r w:rsidRPr="00583CA4">
        <w:rPr>
          <w:rFonts w:ascii="Times New Roman" w:hAnsi="Times New Roman" w:cs="Times New Roman"/>
          <w:sz w:val="24"/>
          <w:szCs w:val="24"/>
        </w:rPr>
        <w:t>W planie wydatków bieżących zabezpieczono środki na realizację przedsięwzięć, o których mowa w załączniku nr 2 do uchwały</w:t>
      </w:r>
      <w:r w:rsidR="003B18D6" w:rsidRPr="00583CA4">
        <w:rPr>
          <w:rFonts w:ascii="Times New Roman" w:hAnsi="Times New Roman" w:cs="Times New Roman"/>
          <w:sz w:val="24"/>
          <w:szCs w:val="24"/>
        </w:rPr>
        <w:t>,</w:t>
      </w:r>
      <w:r w:rsidRPr="00583CA4">
        <w:rPr>
          <w:rFonts w:ascii="Times New Roman" w:hAnsi="Times New Roman" w:cs="Times New Roman"/>
          <w:sz w:val="24"/>
          <w:szCs w:val="24"/>
        </w:rPr>
        <w:t xml:space="preserve"> obejmują one okres do roku 202</w:t>
      </w:r>
      <w:r w:rsidR="009C4E34">
        <w:rPr>
          <w:rFonts w:ascii="Times New Roman" w:hAnsi="Times New Roman" w:cs="Times New Roman"/>
          <w:sz w:val="24"/>
          <w:szCs w:val="24"/>
        </w:rPr>
        <w:t>8</w:t>
      </w:r>
      <w:r w:rsidRPr="00583CA4">
        <w:rPr>
          <w:rFonts w:ascii="Times New Roman" w:hAnsi="Times New Roman" w:cs="Times New Roman"/>
          <w:sz w:val="24"/>
          <w:szCs w:val="24"/>
        </w:rPr>
        <w:t>.</w:t>
      </w:r>
      <w:r w:rsidR="005A3BEE">
        <w:rPr>
          <w:rFonts w:ascii="Times New Roman" w:hAnsi="Times New Roman" w:cs="Times New Roman"/>
          <w:sz w:val="24"/>
          <w:szCs w:val="24"/>
        </w:rPr>
        <w:t xml:space="preserve"> </w:t>
      </w:r>
    </w:p>
    <w:p w14:paraId="0AC384BB" w14:textId="08C9BEF4" w:rsidR="00C22F65" w:rsidRDefault="00E97A12" w:rsidP="000E3DF6">
      <w:pPr>
        <w:spacing w:after="0" w:line="360" w:lineRule="auto"/>
        <w:jc w:val="both"/>
        <w:rPr>
          <w:rFonts w:ascii="Times New Roman" w:hAnsi="Times New Roman" w:cs="Times New Roman"/>
          <w:sz w:val="24"/>
          <w:szCs w:val="24"/>
        </w:rPr>
      </w:pPr>
      <w:r w:rsidRPr="00583CA4">
        <w:rPr>
          <w:rFonts w:ascii="Times New Roman" w:hAnsi="Times New Roman" w:cs="Times New Roman"/>
          <w:sz w:val="24"/>
          <w:szCs w:val="24"/>
        </w:rPr>
        <w:t xml:space="preserve">Wydatki związane z obsługą zadłużenia zostały </w:t>
      </w:r>
      <w:r w:rsidR="006D72B0">
        <w:rPr>
          <w:rFonts w:ascii="Times New Roman" w:hAnsi="Times New Roman" w:cs="Times New Roman"/>
          <w:sz w:val="24"/>
          <w:szCs w:val="24"/>
        </w:rPr>
        <w:t xml:space="preserve">skalkulowane </w:t>
      </w:r>
      <w:r w:rsidRPr="00583CA4">
        <w:rPr>
          <w:rFonts w:ascii="Times New Roman" w:hAnsi="Times New Roman" w:cs="Times New Roman"/>
          <w:sz w:val="24"/>
          <w:szCs w:val="24"/>
        </w:rPr>
        <w:t>zgodnie z</w:t>
      </w:r>
      <w:r w:rsidR="00534A07">
        <w:rPr>
          <w:rFonts w:ascii="Times New Roman" w:hAnsi="Times New Roman" w:cs="Times New Roman"/>
          <w:sz w:val="24"/>
          <w:szCs w:val="24"/>
        </w:rPr>
        <w:t xml:space="preserve">e sposobem </w:t>
      </w:r>
      <w:r w:rsidR="00835C2B">
        <w:rPr>
          <w:rFonts w:ascii="Times New Roman" w:hAnsi="Times New Roman" w:cs="Times New Roman"/>
          <w:sz w:val="24"/>
          <w:szCs w:val="24"/>
        </w:rPr>
        <w:t>obliczania</w:t>
      </w:r>
      <w:r w:rsidRPr="00583CA4">
        <w:rPr>
          <w:rFonts w:ascii="Times New Roman" w:hAnsi="Times New Roman" w:cs="Times New Roman"/>
          <w:sz w:val="24"/>
          <w:szCs w:val="24"/>
        </w:rPr>
        <w:t xml:space="preserve"> </w:t>
      </w:r>
      <w:r w:rsidR="008178F0">
        <w:rPr>
          <w:rFonts w:ascii="Times New Roman" w:hAnsi="Times New Roman" w:cs="Times New Roman"/>
          <w:sz w:val="24"/>
          <w:szCs w:val="24"/>
        </w:rPr>
        <w:t>oprocentowan</w:t>
      </w:r>
      <w:r w:rsidR="00835C2B">
        <w:rPr>
          <w:rFonts w:ascii="Times New Roman" w:hAnsi="Times New Roman" w:cs="Times New Roman"/>
          <w:sz w:val="24"/>
          <w:szCs w:val="24"/>
        </w:rPr>
        <w:t>ia</w:t>
      </w:r>
      <w:r w:rsidR="008178F0">
        <w:rPr>
          <w:rFonts w:ascii="Times New Roman" w:hAnsi="Times New Roman" w:cs="Times New Roman"/>
          <w:sz w:val="24"/>
          <w:szCs w:val="24"/>
        </w:rPr>
        <w:t xml:space="preserve"> wynikającym z umów kredytowych i pożyczki</w:t>
      </w:r>
      <w:r w:rsidRPr="00583CA4">
        <w:rPr>
          <w:rFonts w:ascii="Times New Roman" w:hAnsi="Times New Roman" w:cs="Times New Roman"/>
          <w:sz w:val="24"/>
          <w:szCs w:val="24"/>
        </w:rPr>
        <w:t xml:space="preserve"> </w:t>
      </w:r>
      <w:r w:rsidR="008E4F9D">
        <w:rPr>
          <w:rFonts w:ascii="Times New Roman" w:hAnsi="Times New Roman" w:cs="Times New Roman"/>
          <w:sz w:val="24"/>
          <w:szCs w:val="24"/>
        </w:rPr>
        <w:t xml:space="preserve">oraz harmonogramów ich </w:t>
      </w:r>
      <w:r w:rsidRPr="00583CA4">
        <w:rPr>
          <w:rFonts w:ascii="Times New Roman" w:hAnsi="Times New Roman" w:cs="Times New Roman"/>
          <w:sz w:val="24"/>
          <w:szCs w:val="24"/>
        </w:rPr>
        <w:t>spłaty</w:t>
      </w:r>
      <w:r w:rsidR="000E3DF6" w:rsidRPr="00583CA4">
        <w:rPr>
          <w:rFonts w:ascii="Times New Roman" w:hAnsi="Times New Roman" w:cs="Times New Roman"/>
          <w:sz w:val="24"/>
          <w:szCs w:val="24"/>
        </w:rPr>
        <w:t>.</w:t>
      </w:r>
      <w:r w:rsidR="008178F0">
        <w:rPr>
          <w:rFonts w:ascii="Times New Roman" w:hAnsi="Times New Roman" w:cs="Times New Roman"/>
          <w:sz w:val="24"/>
          <w:szCs w:val="24"/>
        </w:rPr>
        <w:t xml:space="preserve"> </w:t>
      </w:r>
      <w:r w:rsidR="00663EEC">
        <w:rPr>
          <w:rFonts w:ascii="Times New Roman" w:hAnsi="Times New Roman" w:cs="Times New Roman"/>
          <w:sz w:val="24"/>
          <w:szCs w:val="24"/>
        </w:rPr>
        <w:t>Naliczenie oparto dla kredytów o WIBOR 3M oraz marż</w:t>
      </w:r>
      <w:r w:rsidR="00A677D3">
        <w:rPr>
          <w:rFonts w:ascii="Times New Roman" w:hAnsi="Times New Roman" w:cs="Times New Roman"/>
          <w:sz w:val="24"/>
          <w:szCs w:val="24"/>
        </w:rPr>
        <w:t>ę</w:t>
      </w:r>
      <w:r w:rsidR="00663EEC">
        <w:rPr>
          <w:rFonts w:ascii="Times New Roman" w:hAnsi="Times New Roman" w:cs="Times New Roman"/>
          <w:sz w:val="24"/>
          <w:szCs w:val="24"/>
        </w:rPr>
        <w:t xml:space="preserve"> banków wynikając</w:t>
      </w:r>
      <w:r w:rsidR="006D72B0">
        <w:rPr>
          <w:rFonts w:ascii="Times New Roman" w:hAnsi="Times New Roman" w:cs="Times New Roman"/>
          <w:sz w:val="24"/>
          <w:szCs w:val="24"/>
        </w:rPr>
        <w:t>e</w:t>
      </w:r>
      <w:r w:rsidR="00C9684A">
        <w:rPr>
          <w:rFonts w:ascii="Times New Roman" w:hAnsi="Times New Roman" w:cs="Times New Roman"/>
          <w:sz w:val="24"/>
          <w:szCs w:val="24"/>
        </w:rPr>
        <w:t xml:space="preserve"> </w:t>
      </w:r>
      <w:r w:rsidR="00663EEC">
        <w:rPr>
          <w:rFonts w:ascii="Times New Roman" w:hAnsi="Times New Roman" w:cs="Times New Roman"/>
          <w:sz w:val="24"/>
          <w:szCs w:val="24"/>
        </w:rPr>
        <w:t>z umów, dla pożyczki WIBOR 12 M</w:t>
      </w:r>
      <w:r w:rsidR="006D72B0">
        <w:rPr>
          <w:rFonts w:ascii="Times New Roman" w:hAnsi="Times New Roman" w:cs="Times New Roman"/>
          <w:sz w:val="24"/>
          <w:szCs w:val="24"/>
        </w:rPr>
        <w:t xml:space="preserve"> i wskaźnik wynikający z umowy.</w:t>
      </w:r>
      <w:r w:rsidR="006C33C0">
        <w:rPr>
          <w:rFonts w:ascii="Times New Roman" w:hAnsi="Times New Roman" w:cs="Times New Roman"/>
          <w:sz w:val="24"/>
          <w:szCs w:val="24"/>
        </w:rPr>
        <w:t xml:space="preserve"> Odsetki </w:t>
      </w:r>
      <w:r w:rsidR="00C23C4F">
        <w:rPr>
          <w:rFonts w:ascii="Times New Roman" w:hAnsi="Times New Roman" w:cs="Times New Roman"/>
          <w:sz w:val="24"/>
          <w:szCs w:val="24"/>
        </w:rPr>
        <w:t>od</w:t>
      </w:r>
      <w:r w:rsidR="006C33C0">
        <w:rPr>
          <w:rFonts w:ascii="Times New Roman" w:hAnsi="Times New Roman" w:cs="Times New Roman"/>
          <w:sz w:val="24"/>
          <w:szCs w:val="24"/>
        </w:rPr>
        <w:t xml:space="preserve"> planowanego do zaciągnięcia nowego kredytu </w:t>
      </w:r>
      <w:r w:rsidR="006D72B0">
        <w:rPr>
          <w:rFonts w:ascii="Times New Roman" w:hAnsi="Times New Roman" w:cs="Times New Roman"/>
          <w:sz w:val="24"/>
          <w:szCs w:val="24"/>
        </w:rPr>
        <w:t>oszacowano</w:t>
      </w:r>
      <w:r w:rsidR="006C33C0">
        <w:rPr>
          <w:rFonts w:ascii="Times New Roman" w:hAnsi="Times New Roman" w:cs="Times New Roman"/>
          <w:sz w:val="24"/>
          <w:szCs w:val="24"/>
        </w:rPr>
        <w:t xml:space="preserve"> zgodnie z</w:t>
      </w:r>
      <w:r w:rsidR="00C23C4F">
        <w:rPr>
          <w:rFonts w:ascii="Times New Roman" w:hAnsi="Times New Roman" w:cs="Times New Roman"/>
          <w:sz w:val="24"/>
          <w:szCs w:val="24"/>
        </w:rPr>
        <w:t xml:space="preserve"> wytycznymi Ministra Finansów dot. stosowania jednolitych wskaźników makroekonomicznych będących podstawą oszacowania skutków finansowych projektowanych ustaw, według których stopy procentowe od roku 2024 będą </w:t>
      </w:r>
      <w:r w:rsidR="00835C2B">
        <w:rPr>
          <w:rFonts w:ascii="Times New Roman" w:hAnsi="Times New Roman" w:cs="Times New Roman"/>
          <w:sz w:val="24"/>
          <w:szCs w:val="24"/>
        </w:rPr>
        <w:t>się stabilizować</w:t>
      </w:r>
      <w:r w:rsidR="00C23C4F">
        <w:rPr>
          <w:rFonts w:ascii="Times New Roman" w:hAnsi="Times New Roman" w:cs="Times New Roman"/>
          <w:sz w:val="24"/>
          <w:szCs w:val="24"/>
        </w:rPr>
        <w:t>.</w:t>
      </w:r>
      <w:r w:rsidR="009413FE">
        <w:rPr>
          <w:rFonts w:ascii="Times New Roman" w:hAnsi="Times New Roman" w:cs="Times New Roman"/>
          <w:sz w:val="24"/>
          <w:szCs w:val="24"/>
        </w:rPr>
        <w:t xml:space="preserve"> </w:t>
      </w:r>
      <w:r w:rsidR="00C22F65">
        <w:rPr>
          <w:rFonts w:ascii="Times New Roman" w:hAnsi="Times New Roman" w:cs="Times New Roman"/>
          <w:sz w:val="24"/>
          <w:szCs w:val="24"/>
        </w:rPr>
        <w:t>D</w:t>
      </w:r>
      <w:r w:rsidR="00C23C4F">
        <w:rPr>
          <w:rFonts w:ascii="Times New Roman" w:hAnsi="Times New Roman" w:cs="Times New Roman"/>
          <w:sz w:val="24"/>
          <w:szCs w:val="24"/>
        </w:rPr>
        <w:t>o obliczeń odsetek przyjęto następujące wartości</w:t>
      </w:r>
      <w:r w:rsidR="00835C2B">
        <w:rPr>
          <w:rFonts w:ascii="Times New Roman" w:hAnsi="Times New Roman" w:cs="Times New Roman"/>
          <w:sz w:val="24"/>
          <w:szCs w:val="24"/>
        </w:rPr>
        <w:t xml:space="preserve"> wskaźnika</w:t>
      </w:r>
      <w:r w:rsidR="00C22F65">
        <w:rPr>
          <w:rFonts w:ascii="Times New Roman" w:hAnsi="Times New Roman" w:cs="Times New Roman"/>
          <w:sz w:val="24"/>
          <w:szCs w:val="24"/>
        </w:rPr>
        <w:t>:</w:t>
      </w:r>
    </w:p>
    <w:p w14:paraId="4A4A590C" w14:textId="09C7AC24" w:rsidR="00C23C4F" w:rsidRDefault="00C22F65" w:rsidP="000E3DF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w:t>
      </w:r>
      <w:r w:rsidR="00C23C4F">
        <w:rPr>
          <w:rFonts w:ascii="Times New Roman" w:hAnsi="Times New Roman" w:cs="Times New Roman"/>
          <w:sz w:val="24"/>
          <w:szCs w:val="24"/>
        </w:rPr>
        <w:t xml:space="preserve"> dla roku 202</w:t>
      </w:r>
      <w:r>
        <w:rPr>
          <w:rFonts w:ascii="Times New Roman" w:hAnsi="Times New Roman" w:cs="Times New Roman"/>
          <w:sz w:val="24"/>
          <w:szCs w:val="24"/>
        </w:rPr>
        <w:t>5</w:t>
      </w:r>
      <w:r w:rsidR="00C23C4F">
        <w:rPr>
          <w:rFonts w:ascii="Times New Roman" w:hAnsi="Times New Roman" w:cs="Times New Roman"/>
          <w:sz w:val="24"/>
          <w:szCs w:val="24"/>
        </w:rPr>
        <w:t xml:space="preserve"> – </w:t>
      </w:r>
      <w:r>
        <w:rPr>
          <w:rFonts w:ascii="Times New Roman" w:hAnsi="Times New Roman" w:cs="Times New Roman"/>
          <w:sz w:val="24"/>
          <w:szCs w:val="24"/>
        </w:rPr>
        <w:t>4,2</w:t>
      </w:r>
      <w:r w:rsidR="00C23C4F">
        <w:rPr>
          <w:rFonts w:ascii="Times New Roman" w:hAnsi="Times New Roman" w:cs="Times New Roman"/>
          <w:sz w:val="24"/>
          <w:szCs w:val="24"/>
        </w:rPr>
        <w:t>%,</w:t>
      </w:r>
    </w:p>
    <w:p w14:paraId="72770020" w14:textId="0AFC57A4" w:rsidR="00C23C4F" w:rsidRDefault="00C23C4F" w:rsidP="000E3DF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dla roku 202</w:t>
      </w:r>
      <w:r w:rsidR="00C22F65">
        <w:rPr>
          <w:rFonts w:ascii="Times New Roman" w:hAnsi="Times New Roman" w:cs="Times New Roman"/>
          <w:sz w:val="24"/>
          <w:szCs w:val="24"/>
        </w:rPr>
        <w:t>6-2030 – 4%</w:t>
      </w:r>
    </w:p>
    <w:p w14:paraId="42F2203B" w14:textId="13C7D9EB" w:rsidR="0003038A" w:rsidRDefault="00C23C4F" w:rsidP="000E3DF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Marż</w:t>
      </w:r>
      <w:r w:rsidR="00835C2B">
        <w:rPr>
          <w:rFonts w:ascii="Times New Roman" w:hAnsi="Times New Roman" w:cs="Times New Roman"/>
          <w:sz w:val="24"/>
          <w:szCs w:val="24"/>
        </w:rPr>
        <w:t>ę</w:t>
      </w:r>
      <w:r>
        <w:rPr>
          <w:rFonts w:ascii="Times New Roman" w:hAnsi="Times New Roman" w:cs="Times New Roman"/>
          <w:sz w:val="24"/>
          <w:szCs w:val="24"/>
        </w:rPr>
        <w:t xml:space="preserve"> banku </w:t>
      </w:r>
      <w:r w:rsidR="00835C2B">
        <w:rPr>
          <w:rFonts w:ascii="Times New Roman" w:hAnsi="Times New Roman" w:cs="Times New Roman"/>
          <w:sz w:val="24"/>
          <w:szCs w:val="24"/>
        </w:rPr>
        <w:t xml:space="preserve">przewidziano na poziomie </w:t>
      </w:r>
      <w:r>
        <w:rPr>
          <w:rFonts w:ascii="Times New Roman" w:hAnsi="Times New Roman" w:cs="Times New Roman"/>
          <w:sz w:val="24"/>
          <w:szCs w:val="24"/>
        </w:rPr>
        <w:t>1,2%.</w:t>
      </w:r>
    </w:p>
    <w:p w14:paraId="7F0D026F" w14:textId="1A3648EE" w:rsidR="00ED5EA2" w:rsidRDefault="0056737C" w:rsidP="000E3DF6">
      <w:pPr>
        <w:spacing w:after="0" w:line="360" w:lineRule="auto"/>
        <w:jc w:val="both"/>
        <w:rPr>
          <w:rFonts w:ascii="Times New Roman" w:hAnsi="Times New Roman" w:cs="Times New Roman"/>
          <w:sz w:val="24"/>
          <w:szCs w:val="24"/>
        </w:rPr>
      </w:pPr>
      <w:r>
        <w:rPr>
          <w:noProof/>
        </w:rPr>
        <w:drawing>
          <wp:inline distT="0" distB="0" distL="0" distR="0" wp14:anchorId="2F98857D" wp14:editId="40A16796">
            <wp:extent cx="5734050" cy="3619500"/>
            <wp:effectExtent l="0" t="0" r="0" b="0"/>
            <wp:docPr id="1975743788" name="Wykres 1">
              <a:extLst xmlns:a="http://schemas.openxmlformats.org/drawingml/2006/main">
                <a:ext uri="{FF2B5EF4-FFF2-40B4-BE49-F238E27FC236}">
                  <a16:creationId xmlns:a16="http://schemas.microsoft.com/office/drawing/2014/main" id="{5D72161E-45D6-8D4F-CDDC-081029DFD2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DF1B8F1" w14:textId="1586903E" w:rsidR="00FF545E" w:rsidRDefault="00FF545E" w:rsidP="00FF545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Struktura planowanych wydatków w latach 20</w:t>
      </w:r>
      <w:r w:rsidR="00E85690">
        <w:rPr>
          <w:rFonts w:ascii="Times New Roman" w:hAnsi="Times New Roman" w:cs="Times New Roman"/>
          <w:sz w:val="24"/>
          <w:szCs w:val="24"/>
        </w:rPr>
        <w:t>2</w:t>
      </w:r>
      <w:r w:rsidR="0056737C">
        <w:rPr>
          <w:rFonts w:ascii="Times New Roman" w:hAnsi="Times New Roman" w:cs="Times New Roman"/>
          <w:sz w:val="24"/>
          <w:szCs w:val="24"/>
        </w:rPr>
        <w:t>4</w:t>
      </w:r>
      <w:r>
        <w:rPr>
          <w:rFonts w:ascii="Times New Roman" w:hAnsi="Times New Roman" w:cs="Times New Roman"/>
          <w:sz w:val="24"/>
          <w:szCs w:val="24"/>
        </w:rPr>
        <w:t>-20</w:t>
      </w:r>
      <w:r w:rsidR="00E85690">
        <w:rPr>
          <w:rFonts w:ascii="Times New Roman" w:hAnsi="Times New Roman" w:cs="Times New Roman"/>
          <w:sz w:val="24"/>
          <w:szCs w:val="24"/>
        </w:rPr>
        <w:t>30</w:t>
      </w:r>
    </w:p>
    <w:p w14:paraId="7E5CCDDC" w14:textId="77777777" w:rsidR="00BC22A1" w:rsidRDefault="00BC22A1" w:rsidP="000E3DF6">
      <w:pPr>
        <w:spacing w:after="0" w:line="360" w:lineRule="auto"/>
        <w:jc w:val="both"/>
        <w:rPr>
          <w:rFonts w:ascii="Times New Roman" w:hAnsi="Times New Roman" w:cs="Times New Roman"/>
          <w:sz w:val="24"/>
          <w:szCs w:val="24"/>
        </w:rPr>
      </w:pPr>
    </w:p>
    <w:p w14:paraId="1125B9AC" w14:textId="77777777" w:rsidR="005218D9" w:rsidRPr="00390628" w:rsidRDefault="005218D9" w:rsidP="000E3DF6">
      <w:pPr>
        <w:spacing w:after="0" w:line="360" w:lineRule="auto"/>
        <w:jc w:val="both"/>
        <w:rPr>
          <w:rFonts w:ascii="Times New Roman" w:hAnsi="Times New Roman" w:cs="Times New Roman"/>
          <w:sz w:val="24"/>
          <w:szCs w:val="24"/>
        </w:rPr>
      </w:pPr>
    </w:p>
    <w:p w14:paraId="329B0532" w14:textId="58B7D6B2" w:rsidR="004D78FB" w:rsidRDefault="00E97A12" w:rsidP="00D76352">
      <w:pPr>
        <w:pStyle w:val="Akapitzlist"/>
        <w:numPr>
          <w:ilvl w:val="0"/>
          <w:numId w:val="1"/>
        </w:numPr>
        <w:spacing w:after="0" w:line="360" w:lineRule="auto"/>
        <w:jc w:val="both"/>
        <w:rPr>
          <w:rFonts w:ascii="Times New Roman" w:hAnsi="Times New Roman" w:cs="Times New Roman"/>
          <w:b/>
          <w:sz w:val="24"/>
          <w:szCs w:val="24"/>
        </w:rPr>
      </w:pPr>
      <w:r w:rsidRPr="00D62D90">
        <w:rPr>
          <w:rFonts w:ascii="Times New Roman" w:hAnsi="Times New Roman" w:cs="Times New Roman"/>
          <w:b/>
          <w:sz w:val="24"/>
          <w:szCs w:val="24"/>
        </w:rPr>
        <w:t>Inwestycje (wydatki majątkowe)</w:t>
      </w:r>
    </w:p>
    <w:p w14:paraId="002324E3" w14:textId="13AADB77" w:rsidR="00E97A12" w:rsidRPr="00231DC8" w:rsidRDefault="00231DC8" w:rsidP="00396F6F">
      <w:pPr>
        <w:spacing w:after="0" w:line="360" w:lineRule="auto"/>
        <w:jc w:val="both"/>
        <w:rPr>
          <w:rFonts w:ascii="Times New Roman" w:hAnsi="Times New Roman" w:cs="Times New Roman"/>
          <w:bCs/>
          <w:sz w:val="24"/>
          <w:szCs w:val="24"/>
        </w:rPr>
      </w:pPr>
      <w:r w:rsidRPr="00231DC8">
        <w:rPr>
          <w:rFonts w:ascii="Times New Roman" w:hAnsi="Times New Roman" w:cs="Times New Roman"/>
          <w:bCs/>
          <w:sz w:val="24"/>
          <w:szCs w:val="24"/>
        </w:rPr>
        <w:t xml:space="preserve">Wydatki majątkowe obejmują przede wszystkim przedsięwzięcia inwestycyjne, które ujęto </w:t>
      </w:r>
      <w:r>
        <w:rPr>
          <w:rFonts w:ascii="Times New Roman" w:hAnsi="Times New Roman" w:cs="Times New Roman"/>
          <w:bCs/>
          <w:sz w:val="24"/>
          <w:szCs w:val="24"/>
        </w:rPr>
        <w:t xml:space="preserve">  </w:t>
      </w:r>
      <w:r w:rsidR="00AC0245">
        <w:rPr>
          <w:rFonts w:ascii="Times New Roman" w:hAnsi="Times New Roman" w:cs="Times New Roman"/>
          <w:bCs/>
          <w:sz w:val="24"/>
          <w:szCs w:val="24"/>
        </w:rPr>
        <w:t xml:space="preserve">   </w:t>
      </w:r>
      <w:r w:rsidRPr="00231DC8">
        <w:rPr>
          <w:rFonts w:ascii="Times New Roman" w:hAnsi="Times New Roman" w:cs="Times New Roman"/>
          <w:bCs/>
          <w:sz w:val="24"/>
          <w:szCs w:val="24"/>
        </w:rPr>
        <w:t>w załączniku nr 2 do Wieloletniej Prognozy Finansowej Gminy-Miasto Działdowo.</w:t>
      </w:r>
      <w:r w:rsidR="00F252C7" w:rsidRPr="00D62D90">
        <w:rPr>
          <w:rFonts w:ascii="Times New Roman" w:hAnsi="Times New Roman" w:cs="Times New Roman"/>
          <w:sz w:val="24"/>
          <w:szCs w:val="24"/>
        </w:rPr>
        <w:t xml:space="preserve"> Wydatki majątkowe </w:t>
      </w:r>
      <w:r w:rsidR="006E3CDD">
        <w:rPr>
          <w:rFonts w:ascii="Times New Roman" w:hAnsi="Times New Roman" w:cs="Times New Roman"/>
          <w:sz w:val="24"/>
          <w:szCs w:val="24"/>
        </w:rPr>
        <w:t>w ro</w:t>
      </w:r>
      <w:r w:rsidR="00F81FA9">
        <w:rPr>
          <w:rFonts w:ascii="Times New Roman" w:hAnsi="Times New Roman" w:cs="Times New Roman"/>
          <w:sz w:val="24"/>
          <w:szCs w:val="24"/>
        </w:rPr>
        <w:t>ku</w:t>
      </w:r>
      <w:r w:rsidR="006E3CDD">
        <w:rPr>
          <w:rFonts w:ascii="Times New Roman" w:hAnsi="Times New Roman" w:cs="Times New Roman"/>
          <w:sz w:val="24"/>
          <w:szCs w:val="24"/>
        </w:rPr>
        <w:t xml:space="preserve"> 2025 </w:t>
      </w:r>
      <w:r w:rsidR="00C22F65">
        <w:rPr>
          <w:rFonts w:ascii="Times New Roman" w:hAnsi="Times New Roman" w:cs="Times New Roman"/>
          <w:sz w:val="24"/>
          <w:szCs w:val="24"/>
        </w:rPr>
        <w:t xml:space="preserve">i 2026 </w:t>
      </w:r>
      <w:r w:rsidR="006E3CDD">
        <w:rPr>
          <w:rFonts w:ascii="Times New Roman" w:hAnsi="Times New Roman" w:cs="Times New Roman"/>
          <w:sz w:val="24"/>
          <w:szCs w:val="24"/>
        </w:rPr>
        <w:t xml:space="preserve">stanowią </w:t>
      </w:r>
      <w:r w:rsidR="00835C2B">
        <w:rPr>
          <w:rFonts w:ascii="Times New Roman" w:hAnsi="Times New Roman" w:cs="Times New Roman"/>
          <w:sz w:val="24"/>
          <w:szCs w:val="24"/>
        </w:rPr>
        <w:t xml:space="preserve">wyłącznie </w:t>
      </w:r>
      <w:r w:rsidR="006E3CDD">
        <w:rPr>
          <w:rFonts w:ascii="Times New Roman" w:hAnsi="Times New Roman" w:cs="Times New Roman"/>
          <w:sz w:val="24"/>
          <w:szCs w:val="24"/>
        </w:rPr>
        <w:t xml:space="preserve">przedsięwzięcia </w:t>
      </w:r>
      <w:r w:rsidR="00C0133F">
        <w:rPr>
          <w:rFonts w:ascii="Times New Roman" w:hAnsi="Times New Roman" w:cs="Times New Roman"/>
          <w:sz w:val="24"/>
          <w:szCs w:val="24"/>
        </w:rPr>
        <w:t>inwestycyjne</w:t>
      </w:r>
      <w:r w:rsidR="00AD41D3">
        <w:rPr>
          <w:rFonts w:ascii="Times New Roman" w:hAnsi="Times New Roman" w:cs="Times New Roman"/>
          <w:sz w:val="24"/>
          <w:szCs w:val="24"/>
        </w:rPr>
        <w:t xml:space="preserve"> zawarte </w:t>
      </w:r>
      <w:r w:rsidR="00AC0245">
        <w:rPr>
          <w:rFonts w:ascii="Times New Roman" w:hAnsi="Times New Roman" w:cs="Times New Roman"/>
          <w:sz w:val="24"/>
          <w:szCs w:val="24"/>
        </w:rPr>
        <w:t xml:space="preserve">        </w:t>
      </w:r>
      <w:r w:rsidR="00AD41D3">
        <w:rPr>
          <w:rFonts w:ascii="Times New Roman" w:hAnsi="Times New Roman" w:cs="Times New Roman"/>
          <w:sz w:val="24"/>
          <w:szCs w:val="24"/>
        </w:rPr>
        <w:t>w załączniku nr 2 do uchwały.</w:t>
      </w:r>
      <w:r w:rsidR="00C0133F">
        <w:rPr>
          <w:rFonts w:ascii="Times New Roman" w:hAnsi="Times New Roman" w:cs="Times New Roman"/>
          <w:sz w:val="24"/>
          <w:szCs w:val="24"/>
        </w:rPr>
        <w:t xml:space="preserve"> Od roku 202</w:t>
      </w:r>
      <w:r w:rsidR="00C22F65">
        <w:rPr>
          <w:rFonts w:ascii="Times New Roman" w:hAnsi="Times New Roman" w:cs="Times New Roman"/>
          <w:sz w:val="24"/>
          <w:szCs w:val="24"/>
        </w:rPr>
        <w:t>7</w:t>
      </w:r>
      <w:r w:rsidR="00C0133F">
        <w:rPr>
          <w:rFonts w:ascii="Times New Roman" w:hAnsi="Times New Roman" w:cs="Times New Roman"/>
          <w:sz w:val="24"/>
          <w:szCs w:val="24"/>
        </w:rPr>
        <w:t xml:space="preserve"> wydatki</w:t>
      </w:r>
      <w:r w:rsidR="00F252C7" w:rsidRPr="00D62D90">
        <w:rPr>
          <w:rFonts w:ascii="Times New Roman" w:hAnsi="Times New Roman" w:cs="Times New Roman"/>
          <w:sz w:val="24"/>
          <w:szCs w:val="24"/>
        </w:rPr>
        <w:t xml:space="preserve"> </w:t>
      </w:r>
      <w:r w:rsidR="00E97A12" w:rsidRPr="00D62D90">
        <w:rPr>
          <w:rFonts w:ascii="Times New Roman" w:hAnsi="Times New Roman" w:cs="Times New Roman"/>
          <w:sz w:val="24"/>
          <w:szCs w:val="24"/>
        </w:rPr>
        <w:t>ujęte</w:t>
      </w:r>
      <w:r w:rsidR="00394392" w:rsidRPr="00D62D90">
        <w:rPr>
          <w:rFonts w:ascii="Times New Roman" w:hAnsi="Times New Roman" w:cs="Times New Roman"/>
          <w:sz w:val="24"/>
          <w:szCs w:val="24"/>
        </w:rPr>
        <w:t xml:space="preserve"> </w:t>
      </w:r>
      <w:r w:rsidR="00E97A12" w:rsidRPr="00D62D90">
        <w:rPr>
          <w:rFonts w:ascii="Times New Roman" w:hAnsi="Times New Roman" w:cs="Times New Roman"/>
          <w:sz w:val="24"/>
          <w:szCs w:val="24"/>
        </w:rPr>
        <w:t xml:space="preserve">w prognozie mają charakter wydatków inwestycyjnych jednorocznych, zatem nie </w:t>
      </w:r>
      <w:r w:rsidR="00BF14C2" w:rsidRPr="00D62D90">
        <w:rPr>
          <w:rFonts w:ascii="Times New Roman" w:hAnsi="Times New Roman" w:cs="Times New Roman"/>
          <w:sz w:val="24"/>
          <w:szCs w:val="24"/>
        </w:rPr>
        <w:t xml:space="preserve">określono </w:t>
      </w:r>
      <w:r w:rsidR="00FF545E" w:rsidRPr="00D62D90">
        <w:rPr>
          <w:rFonts w:ascii="Times New Roman" w:hAnsi="Times New Roman" w:cs="Times New Roman"/>
          <w:sz w:val="24"/>
          <w:szCs w:val="24"/>
        </w:rPr>
        <w:t xml:space="preserve">zadań </w:t>
      </w:r>
      <w:r w:rsidR="00BF14C2" w:rsidRPr="00D62D90">
        <w:rPr>
          <w:rFonts w:ascii="Times New Roman" w:hAnsi="Times New Roman" w:cs="Times New Roman"/>
          <w:sz w:val="24"/>
          <w:szCs w:val="24"/>
        </w:rPr>
        <w:t>szczegółowyc</w:t>
      </w:r>
      <w:r w:rsidR="00C0133F">
        <w:rPr>
          <w:rFonts w:ascii="Times New Roman" w:hAnsi="Times New Roman" w:cs="Times New Roman"/>
          <w:sz w:val="24"/>
          <w:szCs w:val="24"/>
        </w:rPr>
        <w:t>h.</w:t>
      </w:r>
    </w:p>
    <w:p w14:paraId="5F4AC425" w14:textId="77777777" w:rsidR="00A827F1" w:rsidRPr="00D62D90" w:rsidRDefault="00A65D8E" w:rsidP="00396F6F">
      <w:pPr>
        <w:pStyle w:val="Akapitzlist"/>
        <w:numPr>
          <w:ilvl w:val="0"/>
          <w:numId w:val="1"/>
        </w:numPr>
        <w:spacing w:after="0" w:line="360" w:lineRule="auto"/>
        <w:ind w:left="284" w:hanging="284"/>
        <w:jc w:val="both"/>
        <w:rPr>
          <w:rFonts w:ascii="Times New Roman" w:hAnsi="Times New Roman" w:cs="Times New Roman"/>
          <w:b/>
          <w:sz w:val="24"/>
          <w:szCs w:val="24"/>
        </w:rPr>
      </w:pPr>
      <w:r w:rsidRPr="00D62D90">
        <w:rPr>
          <w:rFonts w:ascii="Times New Roman" w:hAnsi="Times New Roman" w:cs="Times New Roman"/>
          <w:b/>
          <w:sz w:val="24"/>
          <w:szCs w:val="24"/>
        </w:rPr>
        <w:t>Wynik budżetu</w:t>
      </w:r>
    </w:p>
    <w:p w14:paraId="22EBAD2E" w14:textId="33035796" w:rsidR="005C78CC" w:rsidRPr="00D62D90" w:rsidRDefault="00A65D8E" w:rsidP="00CC6977">
      <w:pPr>
        <w:spacing w:after="0" w:line="360" w:lineRule="auto"/>
        <w:jc w:val="both"/>
        <w:rPr>
          <w:rFonts w:ascii="Times New Roman" w:hAnsi="Times New Roman" w:cs="Times New Roman"/>
          <w:sz w:val="24"/>
          <w:szCs w:val="24"/>
        </w:rPr>
      </w:pPr>
      <w:r w:rsidRPr="00D62D90">
        <w:rPr>
          <w:rFonts w:ascii="Times New Roman" w:hAnsi="Times New Roman" w:cs="Times New Roman"/>
          <w:sz w:val="24"/>
          <w:szCs w:val="24"/>
        </w:rPr>
        <w:t xml:space="preserve">Wynik budżetu w prognozowanym okresie jest ściśle powiązany z przyjętymi założeniami do prognozy dochodów i wydatków. </w:t>
      </w:r>
      <w:r w:rsidR="00504B20" w:rsidRPr="00D62D90">
        <w:rPr>
          <w:rFonts w:ascii="Times New Roman" w:hAnsi="Times New Roman" w:cs="Times New Roman"/>
          <w:sz w:val="24"/>
          <w:szCs w:val="24"/>
        </w:rPr>
        <w:t>Dla roku 20</w:t>
      </w:r>
      <w:r w:rsidR="00B304D0">
        <w:rPr>
          <w:rFonts w:ascii="Times New Roman" w:hAnsi="Times New Roman" w:cs="Times New Roman"/>
          <w:sz w:val="24"/>
          <w:szCs w:val="24"/>
        </w:rPr>
        <w:t>2</w:t>
      </w:r>
      <w:r w:rsidR="007E4578">
        <w:rPr>
          <w:rFonts w:ascii="Times New Roman" w:hAnsi="Times New Roman" w:cs="Times New Roman"/>
          <w:sz w:val="24"/>
          <w:szCs w:val="24"/>
        </w:rPr>
        <w:t>4</w:t>
      </w:r>
      <w:r w:rsidR="00504B20" w:rsidRPr="00D62D90">
        <w:rPr>
          <w:rFonts w:ascii="Times New Roman" w:hAnsi="Times New Roman" w:cs="Times New Roman"/>
          <w:sz w:val="24"/>
          <w:szCs w:val="24"/>
        </w:rPr>
        <w:t xml:space="preserve"> jest wynikiem </w:t>
      </w:r>
      <w:r w:rsidR="00B11488" w:rsidRPr="00D62D90">
        <w:rPr>
          <w:rFonts w:ascii="Times New Roman" w:hAnsi="Times New Roman" w:cs="Times New Roman"/>
          <w:sz w:val="24"/>
          <w:szCs w:val="24"/>
        </w:rPr>
        <w:t xml:space="preserve">deficytowym, dla którego </w:t>
      </w:r>
      <w:r w:rsidR="00231DC8">
        <w:rPr>
          <w:rFonts w:ascii="Times New Roman" w:hAnsi="Times New Roman" w:cs="Times New Roman"/>
          <w:sz w:val="24"/>
          <w:szCs w:val="24"/>
        </w:rPr>
        <w:t>wsk</w:t>
      </w:r>
      <w:r w:rsidR="00B11488" w:rsidRPr="00D62D90">
        <w:rPr>
          <w:rFonts w:ascii="Times New Roman" w:hAnsi="Times New Roman" w:cs="Times New Roman"/>
          <w:sz w:val="24"/>
          <w:szCs w:val="24"/>
        </w:rPr>
        <w:t>azano ź</w:t>
      </w:r>
      <w:r w:rsidR="00B221F9" w:rsidRPr="00D62D90">
        <w:rPr>
          <w:rFonts w:ascii="Times New Roman" w:hAnsi="Times New Roman" w:cs="Times New Roman"/>
          <w:sz w:val="24"/>
          <w:szCs w:val="24"/>
        </w:rPr>
        <w:t>ródła finansowania</w:t>
      </w:r>
      <w:r w:rsidR="0003038A">
        <w:rPr>
          <w:rFonts w:ascii="Times New Roman" w:hAnsi="Times New Roman" w:cs="Times New Roman"/>
          <w:sz w:val="24"/>
          <w:szCs w:val="24"/>
        </w:rPr>
        <w:t xml:space="preserve"> w projekcie uchwały budżetowej</w:t>
      </w:r>
      <w:r w:rsidR="00B221F9" w:rsidRPr="00D62D90">
        <w:rPr>
          <w:rFonts w:ascii="Times New Roman" w:hAnsi="Times New Roman" w:cs="Times New Roman"/>
          <w:sz w:val="24"/>
          <w:szCs w:val="24"/>
        </w:rPr>
        <w:t xml:space="preserve">. </w:t>
      </w:r>
      <w:r w:rsidR="00835C2B">
        <w:rPr>
          <w:rFonts w:ascii="Times New Roman" w:hAnsi="Times New Roman" w:cs="Times New Roman"/>
          <w:sz w:val="24"/>
          <w:szCs w:val="24"/>
        </w:rPr>
        <w:t>W roku 202</w:t>
      </w:r>
      <w:r w:rsidR="007E4578">
        <w:rPr>
          <w:rFonts w:ascii="Times New Roman" w:hAnsi="Times New Roman" w:cs="Times New Roman"/>
          <w:sz w:val="24"/>
          <w:szCs w:val="24"/>
        </w:rPr>
        <w:t>5</w:t>
      </w:r>
      <w:r w:rsidR="00835C2B">
        <w:rPr>
          <w:rFonts w:ascii="Times New Roman" w:hAnsi="Times New Roman" w:cs="Times New Roman"/>
          <w:sz w:val="24"/>
          <w:szCs w:val="24"/>
        </w:rPr>
        <w:t xml:space="preserve"> deficyt zostanie pokryty nadwyżką </w:t>
      </w:r>
      <w:r w:rsidR="00F628FB">
        <w:rPr>
          <w:rFonts w:ascii="Times New Roman" w:hAnsi="Times New Roman" w:cs="Times New Roman"/>
          <w:sz w:val="24"/>
          <w:szCs w:val="24"/>
        </w:rPr>
        <w:t>budżetową</w:t>
      </w:r>
      <w:r w:rsidR="00AC0245">
        <w:rPr>
          <w:rFonts w:ascii="Times New Roman" w:hAnsi="Times New Roman" w:cs="Times New Roman"/>
          <w:sz w:val="24"/>
          <w:szCs w:val="24"/>
        </w:rPr>
        <w:t xml:space="preserve"> </w:t>
      </w:r>
      <w:r w:rsidR="00F628FB">
        <w:rPr>
          <w:rFonts w:ascii="Times New Roman" w:hAnsi="Times New Roman" w:cs="Times New Roman"/>
          <w:sz w:val="24"/>
          <w:szCs w:val="24"/>
        </w:rPr>
        <w:t xml:space="preserve">z lat ubiegłych </w:t>
      </w:r>
      <w:r w:rsidR="00B1536A">
        <w:rPr>
          <w:rFonts w:ascii="Times New Roman" w:hAnsi="Times New Roman" w:cs="Times New Roman"/>
          <w:sz w:val="24"/>
          <w:szCs w:val="24"/>
        </w:rPr>
        <w:t xml:space="preserve">w kwocie 688.399,42 zł </w:t>
      </w:r>
      <w:r w:rsidR="00835C2B">
        <w:rPr>
          <w:rFonts w:ascii="Times New Roman" w:hAnsi="Times New Roman" w:cs="Times New Roman"/>
          <w:sz w:val="24"/>
          <w:szCs w:val="24"/>
        </w:rPr>
        <w:t>oraz nowym zobowiązaniem o charakterze kredytu</w:t>
      </w:r>
      <w:r w:rsidR="00F726E5">
        <w:rPr>
          <w:rFonts w:ascii="Times New Roman" w:hAnsi="Times New Roman" w:cs="Times New Roman"/>
          <w:sz w:val="24"/>
          <w:szCs w:val="24"/>
        </w:rPr>
        <w:t>, pożyczki bądź emisji papierów wartościowych</w:t>
      </w:r>
      <w:r w:rsidR="00B1536A">
        <w:rPr>
          <w:rFonts w:ascii="Times New Roman" w:hAnsi="Times New Roman" w:cs="Times New Roman"/>
          <w:sz w:val="24"/>
          <w:szCs w:val="24"/>
        </w:rPr>
        <w:t xml:space="preserve"> </w:t>
      </w:r>
      <w:r w:rsidR="00C9498E">
        <w:rPr>
          <w:rFonts w:ascii="Times New Roman" w:hAnsi="Times New Roman" w:cs="Times New Roman"/>
          <w:sz w:val="24"/>
          <w:szCs w:val="24"/>
        </w:rPr>
        <w:t xml:space="preserve">             </w:t>
      </w:r>
      <w:r w:rsidR="00B1536A">
        <w:rPr>
          <w:rFonts w:ascii="Times New Roman" w:hAnsi="Times New Roman" w:cs="Times New Roman"/>
          <w:sz w:val="24"/>
          <w:szCs w:val="24"/>
        </w:rPr>
        <w:t>w kwocie 2.600.000,00 zł</w:t>
      </w:r>
      <w:r w:rsidR="00F726E5">
        <w:rPr>
          <w:rFonts w:ascii="Times New Roman" w:hAnsi="Times New Roman" w:cs="Times New Roman"/>
          <w:sz w:val="24"/>
          <w:szCs w:val="24"/>
        </w:rPr>
        <w:t>.</w:t>
      </w:r>
      <w:r w:rsidR="00835C2B">
        <w:rPr>
          <w:rFonts w:ascii="Times New Roman" w:hAnsi="Times New Roman" w:cs="Times New Roman"/>
          <w:sz w:val="24"/>
          <w:szCs w:val="24"/>
        </w:rPr>
        <w:t xml:space="preserve"> </w:t>
      </w:r>
      <w:r w:rsidR="00C0133F">
        <w:rPr>
          <w:rFonts w:ascii="Times New Roman" w:hAnsi="Times New Roman" w:cs="Times New Roman"/>
          <w:sz w:val="24"/>
          <w:szCs w:val="24"/>
        </w:rPr>
        <w:t>Od roku 2026</w:t>
      </w:r>
      <w:r w:rsidR="00FF545E" w:rsidRPr="00D62D90">
        <w:rPr>
          <w:rFonts w:ascii="Times New Roman" w:hAnsi="Times New Roman" w:cs="Times New Roman"/>
          <w:sz w:val="24"/>
          <w:szCs w:val="24"/>
        </w:rPr>
        <w:t xml:space="preserve"> zaplanowano nadwyżkę, </w:t>
      </w:r>
      <w:r w:rsidR="00CE3814">
        <w:rPr>
          <w:rFonts w:ascii="Times New Roman" w:hAnsi="Times New Roman" w:cs="Times New Roman"/>
          <w:sz w:val="24"/>
          <w:szCs w:val="24"/>
        </w:rPr>
        <w:t xml:space="preserve">która </w:t>
      </w:r>
      <w:r w:rsidR="00FF545E" w:rsidRPr="00D62D90">
        <w:rPr>
          <w:rFonts w:ascii="Times New Roman" w:hAnsi="Times New Roman" w:cs="Times New Roman"/>
          <w:sz w:val="24"/>
          <w:szCs w:val="24"/>
        </w:rPr>
        <w:t>będzie stanowiła zabezpieczenie spłat zobowiązań kredytowych</w:t>
      </w:r>
      <w:r w:rsidR="00E13EA2">
        <w:rPr>
          <w:rFonts w:ascii="Times New Roman" w:hAnsi="Times New Roman" w:cs="Times New Roman"/>
          <w:sz w:val="24"/>
          <w:szCs w:val="24"/>
        </w:rPr>
        <w:t>.</w:t>
      </w:r>
      <w:r w:rsidR="000056BF">
        <w:rPr>
          <w:rFonts w:ascii="Times New Roman" w:hAnsi="Times New Roman" w:cs="Times New Roman"/>
          <w:sz w:val="24"/>
          <w:szCs w:val="24"/>
        </w:rPr>
        <w:t xml:space="preserve"> </w:t>
      </w:r>
    </w:p>
    <w:p w14:paraId="7153A3DA" w14:textId="77777777" w:rsidR="00A65D8E" w:rsidRPr="00D62D90" w:rsidRDefault="00A65D8E" w:rsidP="00512FC8">
      <w:pPr>
        <w:pStyle w:val="Akapitzlist"/>
        <w:numPr>
          <w:ilvl w:val="0"/>
          <w:numId w:val="1"/>
        </w:numPr>
        <w:spacing w:after="0" w:line="360" w:lineRule="auto"/>
        <w:jc w:val="both"/>
        <w:rPr>
          <w:rFonts w:ascii="Times New Roman" w:hAnsi="Times New Roman" w:cs="Times New Roman"/>
          <w:b/>
          <w:sz w:val="24"/>
          <w:szCs w:val="24"/>
        </w:rPr>
      </w:pPr>
      <w:r w:rsidRPr="00D62D90">
        <w:rPr>
          <w:rFonts w:ascii="Times New Roman" w:hAnsi="Times New Roman" w:cs="Times New Roman"/>
          <w:b/>
          <w:sz w:val="24"/>
          <w:szCs w:val="24"/>
        </w:rPr>
        <w:t>Przychody</w:t>
      </w:r>
    </w:p>
    <w:p w14:paraId="258F0862" w14:textId="509C9CE1" w:rsidR="00B1536A" w:rsidRDefault="005C78CC"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Przychody ogółem dla roku 202</w:t>
      </w:r>
      <w:r w:rsidR="007E4578">
        <w:rPr>
          <w:rFonts w:ascii="Times New Roman" w:hAnsi="Times New Roman" w:cs="Times New Roman"/>
          <w:sz w:val="24"/>
          <w:szCs w:val="24"/>
        </w:rPr>
        <w:t>4</w:t>
      </w:r>
      <w:r>
        <w:rPr>
          <w:rFonts w:ascii="Times New Roman" w:hAnsi="Times New Roman" w:cs="Times New Roman"/>
          <w:sz w:val="24"/>
          <w:szCs w:val="24"/>
        </w:rPr>
        <w:t xml:space="preserve"> wynoszą </w:t>
      </w:r>
      <w:r w:rsidR="007E4578">
        <w:rPr>
          <w:rFonts w:ascii="Times New Roman" w:hAnsi="Times New Roman" w:cs="Times New Roman"/>
          <w:sz w:val="24"/>
          <w:szCs w:val="24"/>
        </w:rPr>
        <w:t>16.740</w:t>
      </w:r>
      <w:r w:rsidR="00D25B1F">
        <w:rPr>
          <w:rFonts w:ascii="Times New Roman" w:hAnsi="Times New Roman" w:cs="Times New Roman"/>
          <w:sz w:val="24"/>
          <w:szCs w:val="24"/>
        </w:rPr>
        <w:t>.</w:t>
      </w:r>
      <w:r w:rsidR="007E4578">
        <w:rPr>
          <w:rFonts w:ascii="Times New Roman" w:hAnsi="Times New Roman" w:cs="Times New Roman"/>
          <w:sz w:val="24"/>
          <w:szCs w:val="24"/>
        </w:rPr>
        <w:t>744,98</w:t>
      </w:r>
      <w:r w:rsidR="00F81FA9">
        <w:rPr>
          <w:rFonts w:ascii="Times New Roman" w:hAnsi="Times New Roman" w:cs="Times New Roman"/>
          <w:sz w:val="24"/>
          <w:szCs w:val="24"/>
        </w:rPr>
        <w:t xml:space="preserve"> </w:t>
      </w:r>
      <w:r>
        <w:rPr>
          <w:rFonts w:ascii="Times New Roman" w:hAnsi="Times New Roman" w:cs="Times New Roman"/>
          <w:sz w:val="24"/>
          <w:szCs w:val="24"/>
        </w:rPr>
        <w:t xml:space="preserve">zł. W przychodach tych wskazano nadwyżkę wraz z </w:t>
      </w:r>
      <w:r w:rsidR="009559CF" w:rsidRPr="001A7B8B">
        <w:rPr>
          <w:rFonts w:ascii="Times New Roman" w:hAnsi="Times New Roman" w:cs="Times New Roman"/>
          <w:sz w:val="24"/>
          <w:szCs w:val="24"/>
        </w:rPr>
        <w:t xml:space="preserve"> niewykorzysta</w:t>
      </w:r>
      <w:r>
        <w:rPr>
          <w:rFonts w:ascii="Times New Roman" w:hAnsi="Times New Roman" w:cs="Times New Roman"/>
          <w:sz w:val="24"/>
          <w:szCs w:val="24"/>
        </w:rPr>
        <w:t xml:space="preserve">nymi </w:t>
      </w:r>
      <w:r w:rsidR="009559CF" w:rsidRPr="001A7B8B">
        <w:rPr>
          <w:rFonts w:ascii="Times New Roman" w:hAnsi="Times New Roman" w:cs="Times New Roman"/>
          <w:sz w:val="24"/>
          <w:szCs w:val="24"/>
        </w:rPr>
        <w:t xml:space="preserve"> środk</w:t>
      </w:r>
      <w:r>
        <w:rPr>
          <w:rFonts w:ascii="Times New Roman" w:hAnsi="Times New Roman" w:cs="Times New Roman"/>
          <w:sz w:val="24"/>
          <w:szCs w:val="24"/>
        </w:rPr>
        <w:t>ami</w:t>
      </w:r>
      <w:r w:rsidR="009559CF" w:rsidRPr="001A7B8B">
        <w:rPr>
          <w:rFonts w:ascii="Times New Roman" w:hAnsi="Times New Roman" w:cs="Times New Roman"/>
          <w:sz w:val="24"/>
          <w:szCs w:val="24"/>
        </w:rPr>
        <w:t>, o których mowa w art.</w:t>
      </w:r>
      <w:r w:rsidR="00637322" w:rsidRPr="001A7B8B">
        <w:rPr>
          <w:rFonts w:ascii="Times New Roman" w:hAnsi="Times New Roman" w:cs="Times New Roman"/>
          <w:sz w:val="24"/>
          <w:szCs w:val="24"/>
        </w:rPr>
        <w:t xml:space="preserve"> </w:t>
      </w:r>
      <w:r w:rsidR="009559CF" w:rsidRPr="001A7B8B">
        <w:rPr>
          <w:rFonts w:ascii="Times New Roman" w:hAnsi="Times New Roman" w:cs="Times New Roman"/>
          <w:sz w:val="24"/>
          <w:szCs w:val="24"/>
        </w:rPr>
        <w:t xml:space="preserve">217 ust. 2 pkt 8 </w:t>
      </w:r>
      <w:r w:rsidR="009F7C9A">
        <w:rPr>
          <w:rFonts w:ascii="Times New Roman" w:hAnsi="Times New Roman" w:cs="Times New Roman"/>
          <w:sz w:val="24"/>
          <w:szCs w:val="24"/>
        </w:rPr>
        <w:t xml:space="preserve">        </w:t>
      </w:r>
      <w:r w:rsidR="009559CF" w:rsidRPr="001A7B8B">
        <w:rPr>
          <w:rFonts w:ascii="Times New Roman" w:hAnsi="Times New Roman" w:cs="Times New Roman"/>
          <w:sz w:val="24"/>
          <w:szCs w:val="24"/>
        </w:rPr>
        <w:t xml:space="preserve">w kwocie </w:t>
      </w:r>
      <w:r w:rsidR="00AC0245">
        <w:rPr>
          <w:rFonts w:ascii="Times New Roman" w:hAnsi="Times New Roman" w:cs="Times New Roman"/>
          <w:sz w:val="24"/>
          <w:szCs w:val="24"/>
        </w:rPr>
        <w:t>14.100.244,98</w:t>
      </w:r>
      <w:r w:rsidR="009559CF" w:rsidRPr="001A7B8B">
        <w:rPr>
          <w:rFonts w:ascii="Times New Roman" w:hAnsi="Times New Roman" w:cs="Times New Roman"/>
          <w:sz w:val="24"/>
          <w:szCs w:val="24"/>
        </w:rPr>
        <w:t xml:space="preserve"> zł oraz wolne środki na rachunku budżetu</w:t>
      </w:r>
      <w:r w:rsidR="0050047D" w:rsidRPr="001A7B8B">
        <w:rPr>
          <w:rFonts w:ascii="Times New Roman" w:hAnsi="Times New Roman" w:cs="Times New Roman"/>
          <w:sz w:val="24"/>
          <w:szCs w:val="24"/>
        </w:rPr>
        <w:t xml:space="preserve"> </w:t>
      </w:r>
      <w:r w:rsidR="009559CF" w:rsidRPr="001A7B8B">
        <w:rPr>
          <w:rFonts w:ascii="Times New Roman" w:hAnsi="Times New Roman" w:cs="Times New Roman"/>
          <w:sz w:val="24"/>
          <w:szCs w:val="24"/>
        </w:rPr>
        <w:t xml:space="preserve">– </w:t>
      </w:r>
      <w:r w:rsidR="00AC0245">
        <w:rPr>
          <w:rFonts w:ascii="Times New Roman" w:hAnsi="Times New Roman" w:cs="Times New Roman"/>
          <w:sz w:val="24"/>
          <w:szCs w:val="24"/>
        </w:rPr>
        <w:t>2.640.500</w:t>
      </w:r>
      <w:r w:rsidR="00C0133F">
        <w:rPr>
          <w:rFonts w:ascii="Times New Roman" w:hAnsi="Times New Roman" w:cs="Times New Roman"/>
          <w:sz w:val="24"/>
          <w:szCs w:val="24"/>
        </w:rPr>
        <w:t>,00</w:t>
      </w:r>
      <w:r w:rsidR="009559CF" w:rsidRPr="001A7B8B">
        <w:rPr>
          <w:rFonts w:ascii="Times New Roman" w:hAnsi="Times New Roman" w:cs="Times New Roman"/>
          <w:sz w:val="24"/>
          <w:szCs w:val="24"/>
        </w:rPr>
        <w:t xml:space="preserve"> zł (art. 217 ust.2 pkt 6 </w:t>
      </w:r>
      <w:proofErr w:type="spellStart"/>
      <w:r w:rsidR="009559CF" w:rsidRPr="001A7B8B">
        <w:rPr>
          <w:rFonts w:ascii="Times New Roman" w:hAnsi="Times New Roman" w:cs="Times New Roman"/>
          <w:sz w:val="24"/>
          <w:szCs w:val="24"/>
        </w:rPr>
        <w:t>uofp</w:t>
      </w:r>
      <w:proofErr w:type="spellEnd"/>
      <w:r w:rsidR="009559CF" w:rsidRPr="001A7B8B">
        <w:rPr>
          <w:rFonts w:ascii="Times New Roman" w:hAnsi="Times New Roman" w:cs="Times New Roman"/>
          <w:sz w:val="24"/>
          <w:szCs w:val="24"/>
        </w:rPr>
        <w:t>).</w:t>
      </w:r>
      <w:r w:rsidR="003E2F15">
        <w:rPr>
          <w:rFonts w:ascii="Times New Roman" w:hAnsi="Times New Roman" w:cs="Times New Roman"/>
          <w:sz w:val="24"/>
          <w:szCs w:val="24"/>
        </w:rPr>
        <w:t xml:space="preserve"> </w:t>
      </w:r>
      <w:r w:rsidR="00835C2B">
        <w:rPr>
          <w:rFonts w:ascii="Times New Roman" w:hAnsi="Times New Roman" w:cs="Times New Roman"/>
          <w:sz w:val="24"/>
          <w:szCs w:val="24"/>
        </w:rPr>
        <w:t>W</w:t>
      </w:r>
      <w:r w:rsidR="003E2F15">
        <w:rPr>
          <w:rFonts w:ascii="Times New Roman" w:hAnsi="Times New Roman" w:cs="Times New Roman"/>
          <w:sz w:val="24"/>
          <w:szCs w:val="24"/>
        </w:rPr>
        <w:t xml:space="preserve"> roku 2025 zaplanowano zaciągnięcie kredytu</w:t>
      </w:r>
      <w:r w:rsidR="00835C2B">
        <w:rPr>
          <w:rFonts w:ascii="Times New Roman" w:hAnsi="Times New Roman" w:cs="Times New Roman"/>
          <w:sz w:val="24"/>
          <w:szCs w:val="24"/>
        </w:rPr>
        <w:t>, pożyczki bądź emisj</w:t>
      </w:r>
      <w:r w:rsidR="00AC0245">
        <w:rPr>
          <w:rFonts w:ascii="Times New Roman" w:hAnsi="Times New Roman" w:cs="Times New Roman"/>
          <w:sz w:val="24"/>
          <w:szCs w:val="24"/>
        </w:rPr>
        <w:t>ę</w:t>
      </w:r>
      <w:r w:rsidR="00835C2B">
        <w:rPr>
          <w:rFonts w:ascii="Times New Roman" w:hAnsi="Times New Roman" w:cs="Times New Roman"/>
          <w:sz w:val="24"/>
          <w:szCs w:val="24"/>
        </w:rPr>
        <w:t xml:space="preserve"> papierów wartościowych </w:t>
      </w:r>
      <w:r w:rsidR="003E2F15">
        <w:rPr>
          <w:rFonts w:ascii="Times New Roman" w:hAnsi="Times New Roman" w:cs="Times New Roman"/>
          <w:sz w:val="24"/>
          <w:szCs w:val="24"/>
        </w:rPr>
        <w:t xml:space="preserve">w kwocie </w:t>
      </w:r>
      <w:r w:rsidR="00D25B1F">
        <w:rPr>
          <w:rFonts w:ascii="Times New Roman" w:hAnsi="Times New Roman" w:cs="Times New Roman"/>
          <w:sz w:val="24"/>
          <w:szCs w:val="24"/>
        </w:rPr>
        <w:t>2</w:t>
      </w:r>
      <w:r w:rsidR="003E2F15">
        <w:rPr>
          <w:rFonts w:ascii="Times New Roman" w:hAnsi="Times New Roman" w:cs="Times New Roman"/>
          <w:sz w:val="24"/>
          <w:szCs w:val="24"/>
        </w:rPr>
        <w:t>.</w:t>
      </w:r>
      <w:r w:rsidR="009F7C9A">
        <w:rPr>
          <w:rFonts w:ascii="Times New Roman" w:hAnsi="Times New Roman" w:cs="Times New Roman"/>
          <w:sz w:val="24"/>
          <w:szCs w:val="24"/>
        </w:rPr>
        <w:t>6</w:t>
      </w:r>
      <w:r w:rsidR="003E2F15">
        <w:rPr>
          <w:rFonts w:ascii="Times New Roman" w:hAnsi="Times New Roman" w:cs="Times New Roman"/>
          <w:sz w:val="24"/>
          <w:szCs w:val="24"/>
        </w:rPr>
        <w:t>00.000,00 zł.</w:t>
      </w:r>
      <w:r w:rsidR="006C33C0">
        <w:rPr>
          <w:rFonts w:ascii="Times New Roman" w:hAnsi="Times New Roman" w:cs="Times New Roman"/>
          <w:sz w:val="24"/>
          <w:szCs w:val="24"/>
        </w:rPr>
        <w:t xml:space="preserve"> spłacany w </w:t>
      </w:r>
      <w:r w:rsidR="00835C2B">
        <w:rPr>
          <w:rFonts w:ascii="Times New Roman" w:hAnsi="Times New Roman" w:cs="Times New Roman"/>
          <w:sz w:val="24"/>
          <w:szCs w:val="24"/>
        </w:rPr>
        <w:t xml:space="preserve"> okresie </w:t>
      </w:r>
      <w:r w:rsidR="006C33C0">
        <w:rPr>
          <w:rFonts w:ascii="Times New Roman" w:hAnsi="Times New Roman" w:cs="Times New Roman"/>
          <w:sz w:val="24"/>
          <w:szCs w:val="24"/>
        </w:rPr>
        <w:t xml:space="preserve">5 </w:t>
      </w:r>
      <w:r w:rsidR="00835C2B">
        <w:rPr>
          <w:rFonts w:ascii="Times New Roman" w:hAnsi="Times New Roman" w:cs="Times New Roman"/>
          <w:sz w:val="24"/>
          <w:szCs w:val="24"/>
        </w:rPr>
        <w:t xml:space="preserve"> lat </w:t>
      </w:r>
      <w:r w:rsidR="006C33C0">
        <w:rPr>
          <w:rFonts w:ascii="Times New Roman" w:hAnsi="Times New Roman" w:cs="Times New Roman"/>
          <w:sz w:val="24"/>
          <w:szCs w:val="24"/>
        </w:rPr>
        <w:t>od roku 2026</w:t>
      </w:r>
      <w:r w:rsidR="00B1536A">
        <w:rPr>
          <w:rFonts w:ascii="Times New Roman" w:hAnsi="Times New Roman" w:cs="Times New Roman"/>
          <w:sz w:val="24"/>
          <w:szCs w:val="24"/>
        </w:rPr>
        <w:t xml:space="preserve"> oraz nadwyżkę w kwocie 688.399,42 zł.</w:t>
      </w:r>
    </w:p>
    <w:p w14:paraId="30C1D164" w14:textId="5384B7E1" w:rsidR="007E76AB"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Planowane spłaty:</w:t>
      </w:r>
    </w:p>
    <w:p w14:paraId="2CBD238E" w14:textId="39089D7A" w:rsidR="006C33C0"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- 2026 – </w:t>
      </w:r>
      <w:r w:rsidR="00D25B1F">
        <w:rPr>
          <w:rFonts w:ascii="Times New Roman" w:hAnsi="Times New Roman" w:cs="Times New Roman"/>
          <w:sz w:val="24"/>
          <w:szCs w:val="24"/>
        </w:rPr>
        <w:t>100.000</w:t>
      </w:r>
      <w:r>
        <w:rPr>
          <w:rFonts w:ascii="Times New Roman" w:hAnsi="Times New Roman" w:cs="Times New Roman"/>
          <w:sz w:val="24"/>
          <w:szCs w:val="24"/>
        </w:rPr>
        <w:t>,00 zł,</w:t>
      </w:r>
    </w:p>
    <w:p w14:paraId="7BA2EAE8" w14:textId="028D4CD3" w:rsidR="006C33C0"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- 2027 – </w:t>
      </w:r>
      <w:r w:rsidR="00D25B1F">
        <w:rPr>
          <w:rFonts w:ascii="Times New Roman" w:hAnsi="Times New Roman" w:cs="Times New Roman"/>
          <w:sz w:val="24"/>
          <w:szCs w:val="24"/>
        </w:rPr>
        <w:t>4</w:t>
      </w:r>
      <w:r>
        <w:rPr>
          <w:rFonts w:ascii="Times New Roman" w:hAnsi="Times New Roman" w:cs="Times New Roman"/>
          <w:sz w:val="24"/>
          <w:szCs w:val="24"/>
        </w:rPr>
        <w:t>50.000,00 zł,</w:t>
      </w:r>
    </w:p>
    <w:p w14:paraId="65D6045F" w14:textId="77E26EE8" w:rsidR="006C33C0"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- 2028 – </w:t>
      </w:r>
      <w:r w:rsidR="00D25B1F">
        <w:rPr>
          <w:rFonts w:ascii="Times New Roman" w:hAnsi="Times New Roman" w:cs="Times New Roman"/>
          <w:sz w:val="24"/>
          <w:szCs w:val="24"/>
        </w:rPr>
        <w:t>45</w:t>
      </w:r>
      <w:r>
        <w:rPr>
          <w:rFonts w:ascii="Times New Roman" w:hAnsi="Times New Roman" w:cs="Times New Roman"/>
          <w:sz w:val="24"/>
          <w:szCs w:val="24"/>
        </w:rPr>
        <w:t>0.000,00 zł,</w:t>
      </w:r>
    </w:p>
    <w:p w14:paraId="77927727" w14:textId="70CF35F2" w:rsidR="006C33C0"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w:t>
      </w:r>
      <w:r w:rsidR="00BC22A1">
        <w:rPr>
          <w:rFonts w:ascii="Times New Roman" w:hAnsi="Times New Roman" w:cs="Times New Roman"/>
          <w:sz w:val="24"/>
          <w:szCs w:val="24"/>
        </w:rPr>
        <w:t xml:space="preserve"> </w:t>
      </w:r>
      <w:r>
        <w:rPr>
          <w:rFonts w:ascii="Times New Roman" w:hAnsi="Times New Roman" w:cs="Times New Roman"/>
          <w:sz w:val="24"/>
          <w:szCs w:val="24"/>
        </w:rPr>
        <w:t xml:space="preserve">2029 – </w:t>
      </w:r>
      <w:r w:rsidR="00D25B1F">
        <w:rPr>
          <w:rFonts w:ascii="Times New Roman" w:hAnsi="Times New Roman" w:cs="Times New Roman"/>
          <w:sz w:val="24"/>
          <w:szCs w:val="24"/>
        </w:rPr>
        <w:t>7</w:t>
      </w:r>
      <w:r>
        <w:rPr>
          <w:rFonts w:ascii="Times New Roman" w:hAnsi="Times New Roman" w:cs="Times New Roman"/>
          <w:sz w:val="24"/>
          <w:szCs w:val="24"/>
        </w:rPr>
        <w:t>00.00</w:t>
      </w:r>
      <w:r w:rsidR="00835C2B">
        <w:rPr>
          <w:rFonts w:ascii="Times New Roman" w:hAnsi="Times New Roman" w:cs="Times New Roman"/>
          <w:sz w:val="24"/>
          <w:szCs w:val="24"/>
        </w:rPr>
        <w:t>0</w:t>
      </w:r>
      <w:r>
        <w:rPr>
          <w:rFonts w:ascii="Times New Roman" w:hAnsi="Times New Roman" w:cs="Times New Roman"/>
          <w:sz w:val="24"/>
          <w:szCs w:val="24"/>
        </w:rPr>
        <w:t>,00 zł,</w:t>
      </w:r>
    </w:p>
    <w:p w14:paraId="3425F5DD" w14:textId="5D5F546F" w:rsidR="006C33C0" w:rsidRDefault="006C33C0"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- 2030 – </w:t>
      </w:r>
      <w:r w:rsidR="009F7C9A">
        <w:rPr>
          <w:rFonts w:ascii="Times New Roman" w:hAnsi="Times New Roman" w:cs="Times New Roman"/>
          <w:sz w:val="24"/>
          <w:szCs w:val="24"/>
        </w:rPr>
        <w:t>9</w:t>
      </w:r>
      <w:r>
        <w:rPr>
          <w:rFonts w:ascii="Times New Roman" w:hAnsi="Times New Roman" w:cs="Times New Roman"/>
          <w:sz w:val="24"/>
          <w:szCs w:val="24"/>
        </w:rPr>
        <w:t xml:space="preserve">00.000,00 zł. </w:t>
      </w:r>
    </w:p>
    <w:p w14:paraId="168AB216" w14:textId="77777777" w:rsidR="00512647" w:rsidRPr="00D62D90" w:rsidRDefault="000506EA" w:rsidP="00635EFC">
      <w:pPr>
        <w:pStyle w:val="Akapitzlist"/>
        <w:numPr>
          <w:ilvl w:val="0"/>
          <w:numId w:val="1"/>
        </w:numPr>
        <w:spacing w:after="0" w:line="360" w:lineRule="auto"/>
        <w:jc w:val="both"/>
        <w:rPr>
          <w:rFonts w:ascii="Times New Roman" w:hAnsi="Times New Roman" w:cs="Times New Roman"/>
          <w:b/>
          <w:sz w:val="24"/>
          <w:szCs w:val="24"/>
        </w:rPr>
      </w:pPr>
      <w:r w:rsidRPr="00D62D90">
        <w:rPr>
          <w:rFonts w:ascii="Times New Roman" w:hAnsi="Times New Roman" w:cs="Times New Roman"/>
          <w:b/>
          <w:sz w:val="24"/>
          <w:szCs w:val="24"/>
        </w:rPr>
        <w:t>Rozchody</w:t>
      </w:r>
    </w:p>
    <w:p w14:paraId="61DEB7C7" w14:textId="7074C923" w:rsidR="00635EFC" w:rsidRDefault="000506EA" w:rsidP="00396F6F">
      <w:pPr>
        <w:spacing w:after="0" w:line="360" w:lineRule="auto"/>
        <w:jc w:val="both"/>
        <w:rPr>
          <w:rFonts w:ascii="Times New Roman" w:hAnsi="Times New Roman" w:cs="Times New Roman"/>
          <w:sz w:val="24"/>
          <w:szCs w:val="24"/>
        </w:rPr>
      </w:pPr>
      <w:r w:rsidRPr="00D62D90">
        <w:rPr>
          <w:rFonts w:ascii="Times New Roman" w:hAnsi="Times New Roman" w:cs="Times New Roman"/>
          <w:sz w:val="24"/>
          <w:szCs w:val="24"/>
        </w:rPr>
        <w:t xml:space="preserve">Po stronie rozchodów w prognozowanym okresie przyjęto tylko przepływy związane </w:t>
      </w:r>
      <w:r w:rsidR="00E94D39" w:rsidRPr="00D62D90">
        <w:rPr>
          <w:rFonts w:ascii="Times New Roman" w:hAnsi="Times New Roman" w:cs="Times New Roman"/>
          <w:sz w:val="24"/>
          <w:szCs w:val="24"/>
        </w:rPr>
        <w:t xml:space="preserve">                        </w:t>
      </w:r>
      <w:r w:rsidRPr="00D62D90">
        <w:rPr>
          <w:rFonts w:ascii="Times New Roman" w:hAnsi="Times New Roman" w:cs="Times New Roman"/>
          <w:sz w:val="24"/>
          <w:szCs w:val="24"/>
        </w:rPr>
        <w:t xml:space="preserve">ze spłatą rat kapitałowych zaciągniętych </w:t>
      </w:r>
      <w:r w:rsidR="00B74D9C">
        <w:rPr>
          <w:rFonts w:ascii="Times New Roman" w:hAnsi="Times New Roman" w:cs="Times New Roman"/>
          <w:sz w:val="24"/>
          <w:szCs w:val="24"/>
        </w:rPr>
        <w:t>kredytów i pożyczek</w:t>
      </w:r>
      <w:r w:rsidR="00835C2B">
        <w:rPr>
          <w:rFonts w:ascii="Times New Roman" w:hAnsi="Times New Roman" w:cs="Times New Roman"/>
          <w:sz w:val="24"/>
          <w:szCs w:val="24"/>
        </w:rPr>
        <w:t xml:space="preserve"> i planowanych nowych zobowiązań</w:t>
      </w:r>
      <w:r w:rsidR="00B74D9C">
        <w:rPr>
          <w:rFonts w:ascii="Times New Roman" w:hAnsi="Times New Roman" w:cs="Times New Roman"/>
          <w:sz w:val="24"/>
          <w:szCs w:val="24"/>
        </w:rPr>
        <w:t>.</w:t>
      </w:r>
      <w:r w:rsidR="002D4101">
        <w:rPr>
          <w:rFonts w:ascii="Times New Roman" w:hAnsi="Times New Roman" w:cs="Times New Roman"/>
          <w:sz w:val="24"/>
          <w:szCs w:val="24"/>
        </w:rPr>
        <w:t xml:space="preserve"> W roku 202</w:t>
      </w:r>
      <w:r w:rsidR="00D3598D">
        <w:rPr>
          <w:rFonts w:ascii="Times New Roman" w:hAnsi="Times New Roman" w:cs="Times New Roman"/>
          <w:sz w:val="24"/>
          <w:szCs w:val="24"/>
        </w:rPr>
        <w:t>4</w:t>
      </w:r>
      <w:r w:rsidR="002D4101">
        <w:rPr>
          <w:rFonts w:ascii="Times New Roman" w:hAnsi="Times New Roman" w:cs="Times New Roman"/>
          <w:sz w:val="24"/>
          <w:szCs w:val="24"/>
        </w:rPr>
        <w:t xml:space="preserve"> dodatkowo wystąpiły inne rozchody niezwiązane ze spłata długu </w:t>
      </w:r>
      <w:r w:rsidR="00165BE9">
        <w:rPr>
          <w:rFonts w:ascii="Times New Roman" w:hAnsi="Times New Roman" w:cs="Times New Roman"/>
          <w:sz w:val="24"/>
          <w:szCs w:val="24"/>
        </w:rPr>
        <w:t xml:space="preserve">  </w:t>
      </w:r>
      <w:r w:rsidR="00A7713C">
        <w:rPr>
          <w:rFonts w:ascii="Times New Roman" w:hAnsi="Times New Roman" w:cs="Times New Roman"/>
          <w:sz w:val="24"/>
          <w:szCs w:val="24"/>
        </w:rPr>
        <w:t xml:space="preserve">  </w:t>
      </w:r>
      <w:r w:rsidR="002D4101">
        <w:rPr>
          <w:rFonts w:ascii="Times New Roman" w:hAnsi="Times New Roman" w:cs="Times New Roman"/>
          <w:sz w:val="24"/>
          <w:szCs w:val="24"/>
        </w:rPr>
        <w:t xml:space="preserve">w kwocie </w:t>
      </w:r>
      <w:r w:rsidR="00D3598D">
        <w:rPr>
          <w:rFonts w:ascii="Times New Roman" w:hAnsi="Times New Roman" w:cs="Times New Roman"/>
          <w:sz w:val="24"/>
          <w:szCs w:val="24"/>
        </w:rPr>
        <w:t>1.758.649,42</w:t>
      </w:r>
      <w:r w:rsidR="002D4101">
        <w:rPr>
          <w:rFonts w:ascii="Times New Roman" w:hAnsi="Times New Roman" w:cs="Times New Roman"/>
          <w:sz w:val="24"/>
          <w:szCs w:val="24"/>
        </w:rPr>
        <w:t xml:space="preserve"> zł</w:t>
      </w:r>
    </w:p>
    <w:p w14:paraId="383D3991" w14:textId="77777777" w:rsidR="00B25415" w:rsidRPr="00D62D90" w:rsidRDefault="00B25415" w:rsidP="00396F6F">
      <w:pPr>
        <w:spacing w:after="0" w:line="360" w:lineRule="auto"/>
        <w:jc w:val="both"/>
        <w:rPr>
          <w:rFonts w:ascii="Times New Roman" w:hAnsi="Times New Roman" w:cs="Times New Roman"/>
          <w:sz w:val="24"/>
          <w:szCs w:val="24"/>
        </w:rPr>
      </w:pPr>
      <w:r w:rsidRPr="00D62D90">
        <w:rPr>
          <w:rFonts w:ascii="Times New Roman" w:hAnsi="Times New Roman" w:cs="Times New Roman"/>
          <w:sz w:val="24"/>
          <w:szCs w:val="24"/>
        </w:rPr>
        <w:t>Raty kapitałowe do spłaty w poszczególnych latach wyniosą rocznie:</w:t>
      </w:r>
    </w:p>
    <w:p w14:paraId="767B0E53" w14:textId="49E59834" w:rsidR="0050047D" w:rsidRDefault="0050047D"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- 2024 rok – </w:t>
      </w:r>
      <w:r w:rsidR="009E5B57">
        <w:rPr>
          <w:rFonts w:ascii="Times New Roman" w:hAnsi="Times New Roman" w:cs="Times New Roman"/>
          <w:sz w:val="24"/>
          <w:szCs w:val="24"/>
        </w:rPr>
        <w:t>1.570.250,00 zł,</w:t>
      </w:r>
    </w:p>
    <w:p w14:paraId="61256D3D" w14:textId="2FA8F310" w:rsidR="0050047D" w:rsidRDefault="0050047D"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- 2025 rok – </w:t>
      </w:r>
      <w:r w:rsidR="009E5B57">
        <w:rPr>
          <w:rFonts w:ascii="Times New Roman" w:hAnsi="Times New Roman" w:cs="Times New Roman"/>
          <w:sz w:val="24"/>
          <w:szCs w:val="24"/>
        </w:rPr>
        <w:t>1.070.250,00 zł</w:t>
      </w:r>
      <w:r w:rsidR="002C4801">
        <w:rPr>
          <w:rFonts w:ascii="Times New Roman" w:hAnsi="Times New Roman" w:cs="Times New Roman"/>
          <w:sz w:val="24"/>
          <w:szCs w:val="24"/>
        </w:rPr>
        <w:t>,</w:t>
      </w:r>
    </w:p>
    <w:p w14:paraId="7F81768A" w14:textId="3A6E8E1B" w:rsidR="002C4801" w:rsidRDefault="002C4801"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- 2026 rok – </w:t>
      </w:r>
      <w:r w:rsidR="00D3598D">
        <w:rPr>
          <w:rFonts w:ascii="Times New Roman" w:hAnsi="Times New Roman" w:cs="Times New Roman"/>
          <w:sz w:val="24"/>
          <w:szCs w:val="24"/>
        </w:rPr>
        <w:t>100</w:t>
      </w:r>
      <w:r>
        <w:rPr>
          <w:rFonts w:ascii="Times New Roman" w:hAnsi="Times New Roman" w:cs="Times New Roman"/>
          <w:sz w:val="24"/>
          <w:szCs w:val="24"/>
        </w:rPr>
        <w:t>.000,00 zł,</w:t>
      </w:r>
    </w:p>
    <w:p w14:paraId="7B5703ED" w14:textId="65E17B1D" w:rsidR="002C4801" w:rsidRDefault="002C4801"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- 2027 rok – </w:t>
      </w:r>
      <w:r w:rsidR="00D3598D">
        <w:rPr>
          <w:rFonts w:ascii="Times New Roman" w:hAnsi="Times New Roman" w:cs="Times New Roman"/>
          <w:sz w:val="24"/>
          <w:szCs w:val="24"/>
        </w:rPr>
        <w:t>4</w:t>
      </w:r>
      <w:r>
        <w:rPr>
          <w:rFonts w:ascii="Times New Roman" w:hAnsi="Times New Roman" w:cs="Times New Roman"/>
          <w:sz w:val="24"/>
          <w:szCs w:val="24"/>
        </w:rPr>
        <w:t>50.000,00 zł,</w:t>
      </w:r>
    </w:p>
    <w:p w14:paraId="2C53FC63" w14:textId="5AD00917" w:rsidR="002C4801" w:rsidRDefault="002C4801"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- 2028 rok – </w:t>
      </w:r>
      <w:r w:rsidR="00D3598D">
        <w:rPr>
          <w:rFonts w:ascii="Times New Roman" w:hAnsi="Times New Roman" w:cs="Times New Roman"/>
          <w:sz w:val="24"/>
          <w:szCs w:val="24"/>
        </w:rPr>
        <w:t>45</w:t>
      </w:r>
      <w:r>
        <w:rPr>
          <w:rFonts w:ascii="Times New Roman" w:hAnsi="Times New Roman" w:cs="Times New Roman"/>
          <w:sz w:val="24"/>
          <w:szCs w:val="24"/>
        </w:rPr>
        <w:t>0.000,00 zł,</w:t>
      </w:r>
    </w:p>
    <w:p w14:paraId="7D9F1D9F" w14:textId="78326697" w:rsidR="002C4801" w:rsidRDefault="002C4801"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- 2029 rok – </w:t>
      </w:r>
      <w:r w:rsidR="00D3598D">
        <w:rPr>
          <w:rFonts w:ascii="Times New Roman" w:hAnsi="Times New Roman" w:cs="Times New Roman"/>
          <w:sz w:val="24"/>
          <w:szCs w:val="24"/>
        </w:rPr>
        <w:t>7</w:t>
      </w:r>
      <w:r>
        <w:rPr>
          <w:rFonts w:ascii="Times New Roman" w:hAnsi="Times New Roman" w:cs="Times New Roman"/>
          <w:sz w:val="24"/>
          <w:szCs w:val="24"/>
        </w:rPr>
        <w:t>00.000,00 zł,</w:t>
      </w:r>
    </w:p>
    <w:p w14:paraId="3A7EE9AA" w14:textId="6ED95B92" w:rsidR="002C4801" w:rsidRDefault="002C4801" w:rsidP="0050047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- 2030 rok – </w:t>
      </w:r>
      <w:r w:rsidR="00AC0245">
        <w:rPr>
          <w:rFonts w:ascii="Times New Roman" w:hAnsi="Times New Roman" w:cs="Times New Roman"/>
          <w:sz w:val="24"/>
          <w:szCs w:val="24"/>
        </w:rPr>
        <w:t>9</w:t>
      </w:r>
      <w:r>
        <w:rPr>
          <w:rFonts w:ascii="Times New Roman" w:hAnsi="Times New Roman" w:cs="Times New Roman"/>
          <w:sz w:val="24"/>
          <w:szCs w:val="24"/>
        </w:rPr>
        <w:t>00.000,00 zł.</w:t>
      </w:r>
    </w:p>
    <w:p w14:paraId="402881E0" w14:textId="1D0B5ECA" w:rsidR="0083686B" w:rsidRPr="003D1BA7" w:rsidRDefault="003D1BA7" w:rsidP="003D1BA7">
      <w:pPr>
        <w:spacing w:after="0" w:line="360" w:lineRule="auto"/>
        <w:jc w:val="both"/>
        <w:rPr>
          <w:rFonts w:ascii="Times New Roman" w:hAnsi="Times New Roman" w:cs="Times New Roman"/>
          <w:b/>
          <w:sz w:val="24"/>
          <w:szCs w:val="24"/>
        </w:rPr>
      </w:pPr>
      <w:r>
        <w:rPr>
          <w:noProof/>
        </w:rPr>
        <w:drawing>
          <wp:inline distT="0" distB="0" distL="0" distR="0" wp14:anchorId="5840326A" wp14:editId="421133F3">
            <wp:extent cx="5924550" cy="3638550"/>
            <wp:effectExtent l="0" t="0" r="0" b="0"/>
            <wp:docPr id="1237135995" name="Wykres 1">
              <a:extLst xmlns:a="http://schemas.openxmlformats.org/drawingml/2006/main">
                <a:ext uri="{FF2B5EF4-FFF2-40B4-BE49-F238E27FC236}">
                  <a16:creationId xmlns:a16="http://schemas.microsoft.com/office/drawing/2014/main" id="{C0D5041A-4B97-32B7-8E49-1CB516411D0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7F5D9C7" w14:textId="77777777" w:rsidR="00F94E46" w:rsidRPr="0083686B" w:rsidRDefault="00F94E46" w:rsidP="0083686B">
      <w:pPr>
        <w:pStyle w:val="Akapitzlist"/>
        <w:spacing w:after="0" w:line="360" w:lineRule="auto"/>
        <w:ind w:left="360"/>
        <w:jc w:val="both"/>
        <w:rPr>
          <w:rFonts w:ascii="Times New Roman" w:hAnsi="Times New Roman" w:cs="Times New Roman"/>
          <w:b/>
          <w:sz w:val="24"/>
          <w:szCs w:val="24"/>
        </w:rPr>
      </w:pPr>
    </w:p>
    <w:p w14:paraId="258EB11B" w14:textId="1129772F" w:rsidR="00304231" w:rsidRPr="00702651" w:rsidRDefault="00512FC8" w:rsidP="00304231">
      <w:pPr>
        <w:pStyle w:val="Akapitzlist"/>
        <w:numPr>
          <w:ilvl w:val="0"/>
          <w:numId w:val="1"/>
        </w:numPr>
        <w:spacing w:after="0" w:line="360" w:lineRule="auto"/>
        <w:jc w:val="both"/>
        <w:rPr>
          <w:rFonts w:ascii="Times New Roman" w:hAnsi="Times New Roman" w:cs="Times New Roman"/>
          <w:b/>
          <w:sz w:val="24"/>
          <w:szCs w:val="24"/>
        </w:rPr>
      </w:pPr>
      <w:r w:rsidRPr="00635EFC">
        <w:rPr>
          <w:rFonts w:ascii="Times New Roman" w:hAnsi="Times New Roman" w:cs="Times New Roman"/>
          <w:b/>
          <w:sz w:val="24"/>
          <w:szCs w:val="24"/>
        </w:rPr>
        <w:t>Prognoza kwoty długu</w:t>
      </w:r>
    </w:p>
    <w:p w14:paraId="6E2D1B4E" w14:textId="60425DE8" w:rsidR="00907A91" w:rsidRDefault="00B548B8" w:rsidP="00304231">
      <w:pPr>
        <w:spacing w:after="0" w:line="360" w:lineRule="auto"/>
        <w:jc w:val="both"/>
        <w:rPr>
          <w:rFonts w:ascii="Times New Roman" w:hAnsi="Times New Roman" w:cs="Times New Roman"/>
          <w:sz w:val="24"/>
          <w:szCs w:val="24"/>
        </w:rPr>
      </w:pPr>
      <w:r w:rsidRPr="00D62D90">
        <w:rPr>
          <w:rFonts w:ascii="Times New Roman" w:hAnsi="Times New Roman" w:cs="Times New Roman"/>
          <w:sz w:val="24"/>
          <w:szCs w:val="24"/>
        </w:rPr>
        <w:t>Prognozę kwoty długu sporządzono</w:t>
      </w:r>
      <w:r w:rsidR="00304231" w:rsidRPr="00D62D90">
        <w:rPr>
          <w:rFonts w:ascii="Times New Roman" w:hAnsi="Times New Roman" w:cs="Times New Roman"/>
          <w:sz w:val="24"/>
          <w:szCs w:val="24"/>
        </w:rPr>
        <w:t xml:space="preserve"> na okres, na który zaciągnięto oraz planuje się zaciągnąć zobowiązania</w:t>
      </w:r>
      <w:r w:rsidR="00BA1F86">
        <w:rPr>
          <w:rFonts w:ascii="Times New Roman" w:hAnsi="Times New Roman" w:cs="Times New Roman"/>
          <w:sz w:val="24"/>
          <w:szCs w:val="24"/>
        </w:rPr>
        <w:t>,</w:t>
      </w:r>
      <w:r w:rsidR="00190B43">
        <w:rPr>
          <w:rFonts w:ascii="Times New Roman" w:hAnsi="Times New Roman" w:cs="Times New Roman"/>
          <w:sz w:val="24"/>
          <w:szCs w:val="24"/>
        </w:rPr>
        <w:t xml:space="preserve"> </w:t>
      </w:r>
      <w:r w:rsidR="00BA1F86">
        <w:rPr>
          <w:rFonts w:ascii="Times New Roman" w:hAnsi="Times New Roman" w:cs="Times New Roman"/>
          <w:sz w:val="24"/>
          <w:szCs w:val="24"/>
        </w:rPr>
        <w:t>ze szczególnym uwzględnieniem zobowiązań związku</w:t>
      </w:r>
      <w:r w:rsidR="007E5575">
        <w:rPr>
          <w:rFonts w:ascii="Times New Roman" w:hAnsi="Times New Roman" w:cs="Times New Roman"/>
          <w:sz w:val="24"/>
          <w:szCs w:val="24"/>
        </w:rPr>
        <w:t xml:space="preserve"> EZG </w:t>
      </w:r>
      <w:r w:rsidR="00D25676">
        <w:rPr>
          <w:rFonts w:ascii="Times New Roman" w:hAnsi="Times New Roman" w:cs="Times New Roman"/>
          <w:sz w:val="24"/>
          <w:szCs w:val="24"/>
        </w:rPr>
        <w:t>„</w:t>
      </w:r>
      <w:proofErr w:type="spellStart"/>
      <w:r w:rsidR="007E5575">
        <w:rPr>
          <w:rFonts w:ascii="Times New Roman" w:hAnsi="Times New Roman" w:cs="Times New Roman"/>
          <w:sz w:val="24"/>
          <w:szCs w:val="24"/>
        </w:rPr>
        <w:t>Działdowszczyzna</w:t>
      </w:r>
      <w:proofErr w:type="spellEnd"/>
      <w:r w:rsidR="007E5575">
        <w:rPr>
          <w:rFonts w:ascii="Times New Roman" w:hAnsi="Times New Roman" w:cs="Times New Roman"/>
          <w:sz w:val="24"/>
          <w:szCs w:val="24"/>
        </w:rPr>
        <w:t>”</w:t>
      </w:r>
      <w:r w:rsidR="00BA1F86">
        <w:rPr>
          <w:rFonts w:ascii="Times New Roman" w:hAnsi="Times New Roman" w:cs="Times New Roman"/>
          <w:sz w:val="24"/>
          <w:szCs w:val="24"/>
        </w:rPr>
        <w:t>, którego planowane zobowiązania sięgają roku 20</w:t>
      </w:r>
      <w:r w:rsidR="00CA4CB3">
        <w:rPr>
          <w:rFonts w:ascii="Times New Roman" w:hAnsi="Times New Roman" w:cs="Times New Roman"/>
          <w:sz w:val="24"/>
          <w:szCs w:val="24"/>
        </w:rPr>
        <w:t>30</w:t>
      </w:r>
      <w:r w:rsidR="00BA1F86">
        <w:rPr>
          <w:rFonts w:ascii="Times New Roman" w:hAnsi="Times New Roman" w:cs="Times New Roman"/>
          <w:sz w:val="24"/>
          <w:szCs w:val="24"/>
        </w:rPr>
        <w:t>.</w:t>
      </w:r>
      <w:r w:rsidR="007E5575">
        <w:rPr>
          <w:rFonts w:ascii="Times New Roman" w:hAnsi="Times New Roman" w:cs="Times New Roman"/>
          <w:sz w:val="24"/>
          <w:szCs w:val="24"/>
        </w:rPr>
        <w:t xml:space="preserve"> Końcowe spłaty rat kapita</w:t>
      </w:r>
      <w:r w:rsidR="00D47ECC">
        <w:rPr>
          <w:rFonts w:ascii="Times New Roman" w:hAnsi="Times New Roman" w:cs="Times New Roman"/>
          <w:sz w:val="24"/>
          <w:szCs w:val="24"/>
        </w:rPr>
        <w:t>łowych przypadają w roku 20</w:t>
      </w:r>
      <w:r w:rsidR="002C4801">
        <w:rPr>
          <w:rFonts w:ascii="Times New Roman" w:hAnsi="Times New Roman" w:cs="Times New Roman"/>
          <w:sz w:val="24"/>
          <w:szCs w:val="24"/>
        </w:rPr>
        <w:t>30</w:t>
      </w:r>
      <w:r w:rsidR="00D47ECC">
        <w:rPr>
          <w:rFonts w:ascii="Times New Roman" w:hAnsi="Times New Roman" w:cs="Times New Roman"/>
          <w:sz w:val="24"/>
          <w:szCs w:val="24"/>
        </w:rPr>
        <w:t>. Stan długu na koniec 20</w:t>
      </w:r>
      <w:r w:rsidR="002C4801">
        <w:rPr>
          <w:rFonts w:ascii="Times New Roman" w:hAnsi="Times New Roman" w:cs="Times New Roman"/>
          <w:sz w:val="24"/>
          <w:szCs w:val="24"/>
        </w:rPr>
        <w:t>30</w:t>
      </w:r>
      <w:r w:rsidR="00D47ECC">
        <w:rPr>
          <w:rFonts w:ascii="Times New Roman" w:hAnsi="Times New Roman" w:cs="Times New Roman"/>
          <w:sz w:val="24"/>
          <w:szCs w:val="24"/>
        </w:rPr>
        <w:t xml:space="preserve"> roku wynosi 0,00 zł.</w:t>
      </w:r>
    </w:p>
    <w:p w14:paraId="1B0E42AB" w14:textId="0259784F" w:rsidR="006044FD" w:rsidRDefault="006044FD"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Stan długu na koniec kolejnych lat budżetowych </w:t>
      </w:r>
      <w:r w:rsidR="00B81D00">
        <w:rPr>
          <w:rFonts w:ascii="Times New Roman" w:hAnsi="Times New Roman" w:cs="Times New Roman"/>
          <w:sz w:val="24"/>
          <w:szCs w:val="24"/>
        </w:rPr>
        <w:t>kształtuje się</w:t>
      </w:r>
      <w:r>
        <w:rPr>
          <w:rFonts w:ascii="Times New Roman" w:hAnsi="Times New Roman" w:cs="Times New Roman"/>
          <w:sz w:val="24"/>
          <w:szCs w:val="24"/>
        </w:rPr>
        <w:t xml:space="preserve"> następująco:</w:t>
      </w:r>
    </w:p>
    <w:p w14:paraId="6015685F" w14:textId="27AE14B2" w:rsidR="006044FD" w:rsidRDefault="006044FD"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- 2024 rok –</w:t>
      </w:r>
      <w:r w:rsidR="00CE3814">
        <w:rPr>
          <w:rFonts w:ascii="Times New Roman" w:hAnsi="Times New Roman" w:cs="Times New Roman"/>
          <w:sz w:val="24"/>
          <w:szCs w:val="24"/>
        </w:rPr>
        <w:t xml:space="preserve"> 1.070.250,00</w:t>
      </w:r>
      <w:r>
        <w:rPr>
          <w:rFonts w:ascii="Times New Roman" w:hAnsi="Times New Roman" w:cs="Times New Roman"/>
          <w:sz w:val="24"/>
          <w:szCs w:val="24"/>
        </w:rPr>
        <w:t xml:space="preserve"> zł</w:t>
      </w:r>
    </w:p>
    <w:p w14:paraId="5EE27E40" w14:textId="16738734" w:rsidR="006044FD" w:rsidRDefault="006044FD"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- 2025 rok – </w:t>
      </w:r>
      <w:r w:rsidR="00D3598D">
        <w:rPr>
          <w:rFonts w:ascii="Times New Roman" w:hAnsi="Times New Roman" w:cs="Times New Roman"/>
          <w:sz w:val="24"/>
          <w:szCs w:val="24"/>
        </w:rPr>
        <w:t>2</w:t>
      </w:r>
      <w:r w:rsidR="002C4801">
        <w:rPr>
          <w:rFonts w:ascii="Times New Roman" w:hAnsi="Times New Roman" w:cs="Times New Roman"/>
          <w:sz w:val="24"/>
          <w:szCs w:val="24"/>
        </w:rPr>
        <w:t>.</w:t>
      </w:r>
      <w:r w:rsidR="00B1536A">
        <w:rPr>
          <w:rFonts w:ascii="Times New Roman" w:hAnsi="Times New Roman" w:cs="Times New Roman"/>
          <w:sz w:val="24"/>
          <w:szCs w:val="24"/>
        </w:rPr>
        <w:t>6</w:t>
      </w:r>
      <w:r w:rsidR="002C4801">
        <w:rPr>
          <w:rFonts w:ascii="Times New Roman" w:hAnsi="Times New Roman" w:cs="Times New Roman"/>
          <w:sz w:val="24"/>
          <w:szCs w:val="24"/>
        </w:rPr>
        <w:t>00.000,00 zł,</w:t>
      </w:r>
    </w:p>
    <w:p w14:paraId="0D75B43B" w14:textId="2180E2BC" w:rsidR="002C4801" w:rsidRDefault="002C4801"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- 2026 rok – </w:t>
      </w:r>
      <w:r w:rsidR="00D3598D">
        <w:rPr>
          <w:rFonts w:ascii="Times New Roman" w:hAnsi="Times New Roman" w:cs="Times New Roman"/>
          <w:sz w:val="24"/>
          <w:szCs w:val="24"/>
        </w:rPr>
        <w:t>2.</w:t>
      </w:r>
      <w:r w:rsidR="00B1536A">
        <w:rPr>
          <w:rFonts w:ascii="Times New Roman" w:hAnsi="Times New Roman" w:cs="Times New Roman"/>
          <w:sz w:val="24"/>
          <w:szCs w:val="24"/>
        </w:rPr>
        <w:t>5</w:t>
      </w:r>
      <w:r w:rsidR="00D3598D">
        <w:rPr>
          <w:rFonts w:ascii="Times New Roman" w:hAnsi="Times New Roman" w:cs="Times New Roman"/>
          <w:sz w:val="24"/>
          <w:szCs w:val="24"/>
        </w:rPr>
        <w:t>0</w:t>
      </w:r>
      <w:r>
        <w:rPr>
          <w:rFonts w:ascii="Times New Roman" w:hAnsi="Times New Roman" w:cs="Times New Roman"/>
          <w:sz w:val="24"/>
          <w:szCs w:val="24"/>
        </w:rPr>
        <w:t>0.000,00 zł,</w:t>
      </w:r>
    </w:p>
    <w:p w14:paraId="6B483B68" w14:textId="08F42433" w:rsidR="002C4801" w:rsidRDefault="002C4801"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- 2027 rok – </w:t>
      </w:r>
      <w:r w:rsidR="00B1536A">
        <w:rPr>
          <w:rFonts w:ascii="Times New Roman" w:hAnsi="Times New Roman" w:cs="Times New Roman"/>
          <w:sz w:val="24"/>
          <w:szCs w:val="24"/>
        </w:rPr>
        <w:t>2.0</w:t>
      </w:r>
      <w:r w:rsidR="00D3598D">
        <w:rPr>
          <w:rFonts w:ascii="Times New Roman" w:hAnsi="Times New Roman" w:cs="Times New Roman"/>
          <w:sz w:val="24"/>
          <w:szCs w:val="24"/>
        </w:rPr>
        <w:t>50</w:t>
      </w:r>
      <w:r>
        <w:rPr>
          <w:rFonts w:ascii="Times New Roman" w:hAnsi="Times New Roman" w:cs="Times New Roman"/>
          <w:sz w:val="24"/>
          <w:szCs w:val="24"/>
        </w:rPr>
        <w:t>.000,00 zł,</w:t>
      </w:r>
    </w:p>
    <w:p w14:paraId="486B8337" w14:textId="1677EE8D" w:rsidR="002C4801" w:rsidRDefault="002C4801"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- 2028 rok – 1.</w:t>
      </w:r>
      <w:r w:rsidR="00B1536A">
        <w:rPr>
          <w:rFonts w:ascii="Times New Roman" w:hAnsi="Times New Roman" w:cs="Times New Roman"/>
          <w:sz w:val="24"/>
          <w:szCs w:val="24"/>
        </w:rPr>
        <w:t>6</w:t>
      </w:r>
      <w:r>
        <w:rPr>
          <w:rFonts w:ascii="Times New Roman" w:hAnsi="Times New Roman" w:cs="Times New Roman"/>
          <w:sz w:val="24"/>
          <w:szCs w:val="24"/>
        </w:rPr>
        <w:t>00.000,00 zł,</w:t>
      </w:r>
    </w:p>
    <w:p w14:paraId="7C861592" w14:textId="3CD7E60E" w:rsidR="002C4801" w:rsidRDefault="002C4801"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- 2029 rok – </w:t>
      </w:r>
      <w:r w:rsidR="00B1536A">
        <w:rPr>
          <w:rFonts w:ascii="Times New Roman" w:hAnsi="Times New Roman" w:cs="Times New Roman"/>
          <w:sz w:val="24"/>
          <w:szCs w:val="24"/>
        </w:rPr>
        <w:t>9</w:t>
      </w:r>
      <w:r>
        <w:rPr>
          <w:rFonts w:ascii="Times New Roman" w:hAnsi="Times New Roman" w:cs="Times New Roman"/>
          <w:sz w:val="24"/>
          <w:szCs w:val="24"/>
        </w:rPr>
        <w:t>00.000,00 zł,</w:t>
      </w:r>
    </w:p>
    <w:p w14:paraId="51BFA722" w14:textId="4952662F" w:rsidR="002C4801" w:rsidRDefault="002C4801" w:rsidP="0030423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- 2030 rok – 0,00 zł</w:t>
      </w:r>
    </w:p>
    <w:p w14:paraId="7926FD40" w14:textId="77777777" w:rsidR="00BC22A1" w:rsidRDefault="00BC22A1" w:rsidP="00304231">
      <w:pPr>
        <w:spacing w:after="0" w:line="360" w:lineRule="auto"/>
        <w:jc w:val="both"/>
        <w:rPr>
          <w:rFonts w:ascii="Times New Roman" w:hAnsi="Times New Roman" w:cs="Times New Roman"/>
          <w:sz w:val="24"/>
          <w:szCs w:val="24"/>
        </w:rPr>
      </w:pPr>
    </w:p>
    <w:p w14:paraId="0EE20662" w14:textId="77777777" w:rsidR="002475B4" w:rsidRDefault="00CA1C7E" w:rsidP="00635EFC">
      <w:pPr>
        <w:pStyle w:val="Akapitzlist"/>
        <w:numPr>
          <w:ilvl w:val="0"/>
          <w:numId w:val="1"/>
        </w:numPr>
        <w:spacing w:after="0" w:line="360" w:lineRule="auto"/>
        <w:jc w:val="both"/>
        <w:rPr>
          <w:rFonts w:ascii="Times New Roman" w:hAnsi="Times New Roman" w:cs="Times New Roman"/>
          <w:b/>
          <w:sz w:val="24"/>
          <w:szCs w:val="24"/>
        </w:rPr>
      </w:pPr>
      <w:r w:rsidRPr="00635EFC">
        <w:rPr>
          <w:rFonts w:ascii="Times New Roman" w:hAnsi="Times New Roman" w:cs="Times New Roman"/>
          <w:b/>
          <w:sz w:val="24"/>
          <w:szCs w:val="24"/>
        </w:rPr>
        <w:lastRenderedPageBreak/>
        <w:t>Relacja z art. 243 u</w:t>
      </w:r>
      <w:r w:rsidR="00512647" w:rsidRPr="00635EFC">
        <w:rPr>
          <w:rFonts w:ascii="Times New Roman" w:hAnsi="Times New Roman" w:cs="Times New Roman"/>
          <w:b/>
          <w:sz w:val="24"/>
          <w:szCs w:val="24"/>
        </w:rPr>
        <w:t>stawy</w:t>
      </w:r>
    </w:p>
    <w:p w14:paraId="1133469C" w14:textId="5B34C370" w:rsidR="008F4550" w:rsidRPr="00190B43" w:rsidRDefault="004C4519" w:rsidP="006656D2">
      <w:pPr>
        <w:spacing w:after="0" w:line="360" w:lineRule="auto"/>
        <w:jc w:val="both"/>
        <w:rPr>
          <w:rFonts w:ascii="Times New Roman" w:hAnsi="Times New Roman" w:cs="Times New Roman"/>
          <w:bCs/>
          <w:sz w:val="24"/>
          <w:szCs w:val="24"/>
        </w:rPr>
      </w:pPr>
      <w:r w:rsidRPr="00190B43">
        <w:rPr>
          <w:rFonts w:ascii="Times New Roman" w:hAnsi="Times New Roman" w:cs="Times New Roman"/>
          <w:sz w:val="24"/>
          <w:szCs w:val="24"/>
        </w:rPr>
        <w:t xml:space="preserve">Zarządzeniem nr 116/2021 Burmistrza Miasta Działdowo z dnia 21 grudnia 2021 r. w sprawie wyboru długości okresu średniej arytmetycznej stosowanej do wyliczenia relacji z art. 243 ust.1 ustawy o finansach publicznych, dokonano wyboru okresu wyliczenia średniej arytmetycznej relacji dochodów bieżących powiększonych o dochody ze sprzedaży majątku oraz pomniejszonych o wydatki bieżące do dochodów bieżących budżetu. Dla Gminy Miasto-Działdowo jest to okres 7 lat. </w:t>
      </w:r>
      <w:r w:rsidR="006D06B9" w:rsidRPr="00190B43">
        <w:rPr>
          <w:rFonts w:ascii="Times New Roman" w:hAnsi="Times New Roman" w:cs="Times New Roman"/>
          <w:bCs/>
          <w:sz w:val="24"/>
          <w:szCs w:val="24"/>
        </w:rPr>
        <w:t>Przyjęte w prognozie założenia zapewniają bezpieczeństwo gminie w zakresie dostosowania poziomu spłat zobowiązań objętych prognozą.</w:t>
      </w:r>
    </w:p>
    <w:p w14:paraId="6B7416AD" w14:textId="5D7438DF" w:rsidR="008F4550" w:rsidRPr="00190B43" w:rsidRDefault="008F4550" w:rsidP="006656D2">
      <w:pPr>
        <w:spacing w:after="0" w:line="360" w:lineRule="auto"/>
        <w:jc w:val="both"/>
        <w:rPr>
          <w:rFonts w:ascii="Times New Roman" w:hAnsi="Times New Roman" w:cs="Times New Roman"/>
          <w:bCs/>
          <w:sz w:val="24"/>
          <w:szCs w:val="24"/>
        </w:rPr>
      </w:pPr>
    </w:p>
    <w:p w14:paraId="4EB6AFCF" w14:textId="0030D502" w:rsidR="0013282C" w:rsidRDefault="003D1BA7" w:rsidP="006656D2">
      <w:pPr>
        <w:spacing w:after="0" w:line="360" w:lineRule="auto"/>
        <w:jc w:val="both"/>
        <w:rPr>
          <w:rFonts w:ascii="Times New Roman" w:hAnsi="Times New Roman" w:cs="Times New Roman"/>
          <w:bCs/>
          <w:sz w:val="24"/>
          <w:szCs w:val="24"/>
        </w:rPr>
      </w:pPr>
      <w:r>
        <w:rPr>
          <w:noProof/>
        </w:rPr>
        <w:drawing>
          <wp:inline distT="0" distB="0" distL="0" distR="0" wp14:anchorId="6C685536" wp14:editId="1BE6170E">
            <wp:extent cx="5848350" cy="3381375"/>
            <wp:effectExtent l="0" t="0" r="0" b="0"/>
            <wp:docPr id="2071763958" name="Wykres 1">
              <a:extLst xmlns:a="http://schemas.openxmlformats.org/drawingml/2006/main">
                <a:ext uri="{FF2B5EF4-FFF2-40B4-BE49-F238E27FC236}">
                  <a16:creationId xmlns:a16="http://schemas.microsoft.com/office/drawing/2014/main" id="{C6C54656-EF7C-0FB7-EA20-A57A87DA6B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3DD609E" w14:textId="77777777" w:rsidR="0013282C" w:rsidRPr="00585764" w:rsidRDefault="0013282C" w:rsidP="006656D2">
      <w:pPr>
        <w:spacing w:after="0" w:line="360" w:lineRule="auto"/>
        <w:jc w:val="both"/>
        <w:rPr>
          <w:rFonts w:ascii="Times New Roman" w:hAnsi="Times New Roman" w:cs="Times New Roman"/>
          <w:bCs/>
          <w:sz w:val="24"/>
          <w:szCs w:val="24"/>
        </w:rPr>
      </w:pPr>
    </w:p>
    <w:p w14:paraId="0F0F019E" w14:textId="623A4A22" w:rsidR="00A827F1" w:rsidRPr="007551D0" w:rsidRDefault="00CA1C7E" w:rsidP="007551D0">
      <w:pPr>
        <w:pStyle w:val="Akapitzlist"/>
        <w:numPr>
          <w:ilvl w:val="0"/>
          <w:numId w:val="1"/>
        </w:numPr>
        <w:spacing w:after="0" w:line="360" w:lineRule="auto"/>
        <w:jc w:val="both"/>
        <w:rPr>
          <w:rFonts w:ascii="Times New Roman" w:hAnsi="Times New Roman" w:cs="Times New Roman"/>
          <w:b/>
          <w:sz w:val="24"/>
          <w:szCs w:val="24"/>
        </w:rPr>
      </w:pPr>
      <w:r w:rsidRPr="007551D0">
        <w:rPr>
          <w:rFonts w:ascii="Times New Roman" w:hAnsi="Times New Roman" w:cs="Times New Roman"/>
          <w:b/>
          <w:sz w:val="24"/>
          <w:szCs w:val="24"/>
        </w:rPr>
        <w:t>Wymogi art. 244 u</w:t>
      </w:r>
      <w:r w:rsidR="00864FEF" w:rsidRPr="007551D0">
        <w:rPr>
          <w:rFonts w:ascii="Times New Roman" w:hAnsi="Times New Roman" w:cs="Times New Roman"/>
          <w:b/>
          <w:sz w:val="24"/>
          <w:szCs w:val="24"/>
        </w:rPr>
        <w:t>stawy</w:t>
      </w:r>
    </w:p>
    <w:p w14:paraId="4DBDCFA2" w14:textId="4F18F977" w:rsidR="00356E1B" w:rsidRDefault="00864FEF" w:rsidP="00396F6F">
      <w:pPr>
        <w:spacing w:after="0" w:line="360" w:lineRule="auto"/>
        <w:jc w:val="both"/>
        <w:rPr>
          <w:rFonts w:ascii="Times New Roman" w:hAnsi="Times New Roman" w:cs="Times New Roman"/>
          <w:sz w:val="24"/>
          <w:szCs w:val="24"/>
        </w:rPr>
      </w:pPr>
      <w:r w:rsidRPr="00DB2B89">
        <w:rPr>
          <w:rFonts w:ascii="Times New Roman" w:hAnsi="Times New Roman" w:cs="Times New Roman"/>
          <w:sz w:val="24"/>
          <w:szCs w:val="24"/>
        </w:rPr>
        <w:t>Zgodnie z treścią tego artykułu, do łącznej kwoty przypadających w danym roku budżetowym spłat zobowiązań dodaje się przypadające do spłaty kwoty zobowiązań związku współtworzonego przez JST</w:t>
      </w:r>
      <w:r w:rsidR="005D0DCA" w:rsidRPr="00DB2B89">
        <w:rPr>
          <w:rFonts w:ascii="Times New Roman" w:hAnsi="Times New Roman" w:cs="Times New Roman"/>
          <w:sz w:val="24"/>
          <w:szCs w:val="24"/>
        </w:rPr>
        <w:t>,</w:t>
      </w:r>
      <w:r w:rsidRPr="00DB2B89">
        <w:rPr>
          <w:rFonts w:ascii="Times New Roman" w:hAnsi="Times New Roman" w:cs="Times New Roman"/>
          <w:sz w:val="24"/>
          <w:szCs w:val="24"/>
        </w:rPr>
        <w:t xml:space="preserve"> w wysokości proporcjonalnej do udziału we wpłatach wnoszonych na rzecz związku. </w:t>
      </w:r>
      <w:r w:rsidR="00910C81" w:rsidRPr="00DB2B89">
        <w:rPr>
          <w:rFonts w:ascii="Times New Roman" w:hAnsi="Times New Roman" w:cs="Times New Roman"/>
          <w:sz w:val="24"/>
          <w:szCs w:val="24"/>
        </w:rPr>
        <w:t>W</w:t>
      </w:r>
      <w:r w:rsidRPr="00DB2B89">
        <w:rPr>
          <w:rFonts w:ascii="Times New Roman" w:hAnsi="Times New Roman" w:cs="Times New Roman"/>
          <w:sz w:val="24"/>
          <w:szCs w:val="24"/>
        </w:rPr>
        <w:t xml:space="preserve">ykazano wielkości zobowiązań Ekologicznego Związku Gmin </w:t>
      </w:r>
      <w:r w:rsidR="00E03EEA">
        <w:rPr>
          <w:rFonts w:ascii="Times New Roman" w:hAnsi="Times New Roman" w:cs="Times New Roman"/>
          <w:sz w:val="24"/>
          <w:szCs w:val="24"/>
        </w:rPr>
        <w:t>„</w:t>
      </w:r>
      <w:proofErr w:type="spellStart"/>
      <w:r w:rsidRPr="00DB2B89">
        <w:rPr>
          <w:rFonts w:ascii="Times New Roman" w:hAnsi="Times New Roman" w:cs="Times New Roman"/>
          <w:sz w:val="24"/>
          <w:szCs w:val="24"/>
        </w:rPr>
        <w:t>Działdowszczyzna</w:t>
      </w:r>
      <w:proofErr w:type="spellEnd"/>
      <w:r w:rsidR="00E03EEA">
        <w:rPr>
          <w:rFonts w:ascii="Times New Roman" w:hAnsi="Times New Roman" w:cs="Times New Roman"/>
          <w:sz w:val="24"/>
          <w:szCs w:val="24"/>
        </w:rPr>
        <w:t>”</w:t>
      </w:r>
      <w:r w:rsidRPr="00DB2B89">
        <w:rPr>
          <w:rFonts w:ascii="Times New Roman" w:hAnsi="Times New Roman" w:cs="Times New Roman"/>
          <w:sz w:val="24"/>
          <w:szCs w:val="24"/>
        </w:rPr>
        <w:t xml:space="preserve"> przypadających Miastu wg informacji uzyskanych ze Związku </w:t>
      </w:r>
      <w:r w:rsidR="005E0ED1" w:rsidRPr="00DB2B89">
        <w:rPr>
          <w:rFonts w:ascii="Times New Roman" w:hAnsi="Times New Roman" w:cs="Times New Roman"/>
          <w:sz w:val="24"/>
          <w:szCs w:val="24"/>
        </w:rPr>
        <w:t xml:space="preserve">                          </w:t>
      </w:r>
      <w:r w:rsidRPr="00DB2B89">
        <w:rPr>
          <w:rFonts w:ascii="Times New Roman" w:hAnsi="Times New Roman" w:cs="Times New Roman"/>
          <w:sz w:val="24"/>
          <w:szCs w:val="24"/>
        </w:rPr>
        <w:t xml:space="preserve">i </w:t>
      </w:r>
      <w:r w:rsidR="00680815" w:rsidRPr="00DB2B89">
        <w:rPr>
          <w:rFonts w:ascii="Times New Roman" w:hAnsi="Times New Roman" w:cs="Times New Roman"/>
          <w:sz w:val="24"/>
          <w:szCs w:val="24"/>
        </w:rPr>
        <w:t xml:space="preserve">doliczono </w:t>
      </w:r>
      <w:r w:rsidR="00FF66A0" w:rsidRPr="00DB2B89">
        <w:rPr>
          <w:rFonts w:ascii="Times New Roman" w:hAnsi="Times New Roman" w:cs="Times New Roman"/>
          <w:sz w:val="24"/>
          <w:szCs w:val="24"/>
        </w:rPr>
        <w:t xml:space="preserve"> </w:t>
      </w:r>
      <w:r w:rsidR="00680815" w:rsidRPr="00DB2B89">
        <w:rPr>
          <w:rFonts w:ascii="Times New Roman" w:hAnsi="Times New Roman" w:cs="Times New Roman"/>
          <w:sz w:val="24"/>
          <w:szCs w:val="24"/>
        </w:rPr>
        <w:t>je</w:t>
      </w:r>
      <w:r w:rsidR="00CA1C7E" w:rsidRPr="00DB2B89">
        <w:rPr>
          <w:rFonts w:ascii="Times New Roman" w:hAnsi="Times New Roman" w:cs="Times New Roman"/>
          <w:sz w:val="24"/>
          <w:szCs w:val="24"/>
        </w:rPr>
        <w:t xml:space="preserve"> </w:t>
      </w:r>
      <w:r w:rsidR="00E03EEA">
        <w:rPr>
          <w:rFonts w:ascii="Times New Roman" w:hAnsi="Times New Roman" w:cs="Times New Roman"/>
          <w:sz w:val="24"/>
          <w:szCs w:val="24"/>
        </w:rPr>
        <w:t>do łącznej kwoty spłat miasta</w:t>
      </w:r>
      <w:r w:rsidR="005E0ED1" w:rsidRPr="00DB2B89">
        <w:rPr>
          <w:rFonts w:ascii="Times New Roman" w:hAnsi="Times New Roman" w:cs="Times New Roman"/>
          <w:sz w:val="24"/>
          <w:szCs w:val="24"/>
        </w:rPr>
        <w:t xml:space="preserve"> do roku 20</w:t>
      </w:r>
      <w:r w:rsidR="00CA4CB3">
        <w:rPr>
          <w:rFonts w:ascii="Times New Roman" w:hAnsi="Times New Roman" w:cs="Times New Roman"/>
          <w:sz w:val="24"/>
          <w:szCs w:val="24"/>
        </w:rPr>
        <w:t>30</w:t>
      </w:r>
      <w:r w:rsidR="00680815" w:rsidRPr="00DB2B89">
        <w:rPr>
          <w:rFonts w:ascii="Times New Roman" w:hAnsi="Times New Roman" w:cs="Times New Roman"/>
          <w:sz w:val="24"/>
          <w:szCs w:val="24"/>
        </w:rPr>
        <w:t xml:space="preserve">, zgodnie z </w:t>
      </w:r>
      <w:r w:rsidR="00E03EEA">
        <w:rPr>
          <w:rFonts w:ascii="Times New Roman" w:hAnsi="Times New Roman" w:cs="Times New Roman"/>
          <w:sz w:val="24"/>
          <w:szCs w:val="24"/>
        </w:rPr>
        <w:t>okresem wykazanym przez</w:t>
      </w:r>
      <w:r w:rsidR="00680815" w:rsidRPr="00DB2B89">
        <w:rPr>
          <w:rFonts w:ascii="Times New Roman" w:hAnsi="Times New Roman" w:cs="Times New Roman"/>
          <w:sz w:val="24"/>
          <w:szCs w:val="24"/>
        </w:rPr>
        <w:t xml:space="preserve"> EZG</w:t>
      </w:r>
      <w:r w:rsidR="00F775FD">
        <w:rPr>
          <w:rFonts w:ascii="Times New Roman" w:hAnsi="Times New Roman" w:cs="Times New Roman"/>
          <w:sz w:val="24"/>
          <w:szCs w:val="24"/>
        </w:rPr>
        <w:t xml:space="preserve"> </w:t>
      </w:r>
      <w:r w:rsidR="00967CC7">
        <w:rPr>
          <w:rFonts w:ascii="Times New Roman" w:hAnsi="Times New Roman" w:cs="Times New Roman"/>
          <w:sz w:val="24"/>
          <w:szCs w:val="24"/>
        </w:rPr>
        <w:t>„</w:t>
      </w:r>
      <w:proofErr w:type="spellStart"/>
      <w:r w:rsidR="00F775FD">
        <w:rPr>
          <w:rFonts w:ascii="Times New Roman" w:hAnsi="Times New Roman" w:cs="Times New Roman"/>
          <w:sz w:val="24"/>
          <w:szCs w:val="24"/>
        </w:rPr>
        <w:t>Działdowszczyzna</w:t>
      </w:r>
      <w:proofErr w:type="spellEnd"/>
      <w:r w:rsidR="00967CC7">
        <w:rPr>
          <w:rFonts w:ascii="Times New Roman" w:hAnsi="Times New Roman" w:cs="Times New Roman"/>
          <w:sz w:val="24"/>
          <w:szCs w:val="24"/>
        </w:rPr>
        <w:t>”</w:t>
      </w:r>
      <w:r w:rsidR="00680815" w:rsidRPr="00DB2B89">
        <w:rPr>
          <w:rFonts w:ascii="Times New Roman" w:hAnsi="Times New Roman" w:cs="Times New Roman"/>
          <w:sz w:val="24"/>
          <w:szCs w:val="24"/>
        </w:rPr>
        <w:t>.</w:t>
      </w:r>
    </w:p>
    <w:p w14:paraId="6ABBC254" w14:textId="6CE04980" w:rsidR="00967CC7" w:rsidRDefault="00967CC7"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Prognoza kwoty długu </w:t>
      </w:r>
      <w:r w:rsidR="00835C2B">
        <w:rPr>
          <w:rFonts w:ascii="Times New Roman" w:hAnsi="Times New Roman" w:cs="Times New Roman"/>
          <w:sz w:val="24"/>
          <w:szCs w:val="24"/>
        </w:rPr>
        <w:t xml:space="preserve">EZG </w:t>
      </w:r>
      <w:r>
        <w:rPr>
          <w:rFonts w:ascii="Times New Roman" w:hAnsi="Times New Roman" w:cs="Times New Roman"/>
          <w:sz w:val="24"/>
          <w:szCs w:val="24"/>
        </w:rPr>
        <w:t>na lata 202</w:t>
      </w:r>
      <w:r w:rsidR="00B6069F">
        <w:rPr>
          <w:rFonts w:ascii="Times New Roman" w:hAnsi="Times New Roman" w:cs="Times New Roman"/>
          <w:sz w:val="24"/>
          <w:szCs w:val="24"/>
        </w:rPr>
        <w:t>4</w:t>
      </w:r>
      <w:r>
        <w:rPr>
          <w:rFonts w:ascii="Times New Roman" w:hAnsi="Times New Roman" w:cs="Times New Roman"/>
          <w:sz w:val="24"/>
          <w:szCs w:val="24"/>
        </w:rPr>
        <w:t>-2030 dotyczące Gminy-Miasto Działdowo kształtują się następująco:</w:t>
      </w:r>
    </w:p>
    <w:p w14:paraId="39AE6092" w14:textId="7BEB725C" w:rsidR="00967CC7" w:rsidRDefault="00967CC7"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- 2024 – </w:t>
      </w:r>
      <w:r w:rsidR="005775FF">
        <w:rPr>
          <w:rFonts w:ascii="Times New Roman" w:hAnsi="Times New Roman" w:cs="Times New Roman"/>
          <w:sz w:val="24"/>
          <w:szCs w:val="24"/>
        </w:rPr>
        <w:t>1</w:t>
      </w:r>
      <w:r w:rsidR="00B6069F">
        <w:rPr>
          <w:rFonts w:ascii="Times New Roman" w:hAnsi="Times New Roman" w:cs="Times New Roman"/>
          <w:sz w:val="24"/>
          <w:szCs w:val="24"/>
        </w:rPr>
        <w:t>47.435,</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4FC2F391" w14:textId="1EA76A25" w:rsidR="00967CC7" w:rsidRDefault="00967CC7"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- 2025 – </w:t>
      </w:r>
      <w:r w:rsidR="0034106E">
        <w:rPr>
          <w:rFonts w:ascii="Times New Roman" w:hAnsi="Times New Roman" w:cs="Times New Roman"/>
          <w:sz w:val="24"/>
          <w:szCs w:val="24"/>
        </w:rPr>
        <w:t>1</w:t>
      </w:r>
      <w:r w:rsidR="00B6069F">
        <w:rPr>
          <w:rFonts w:ascii="Times New Roman" w:hAnsi="Times New Roman" w:cs="Times New Roman"/>
          <w:sz w:val="24"/>
          <w:szCs w:val="24"/>
        </w:rPr>
        <w:t>38.526,</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1FACD518" w14:textId="68365792" w:rsidR="00967CC7" w:rsidRDefault="00967CC7"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- 2026 – </w:t>
      </w:r>
      <w:r w:rsidR="00B6069F">
        <w:rPr>
          <w:rFonts w:ascii="Times New Roman" w:hAnsi="Times New Roman" w:cs="Times New Roman"/>
          <w:sz w:val="24"/>
          <w:szCs w:val="24"/>
        </w:rPr>
        <w:t>129</w:t>
      </w:r>
      <w:r w:rsidR="005775FF">
        <w:rPr>
          <w:rFonts w:ascii="Times New Roman" w:hAnsi="Times New Roman" w:cs="Times New Roman"/>
          <w:sz w:val="24"/>
          <w:szCs w:val="24"/>
        </w:rPr>
        <w:t>.</w:t>
      </w:r>
      <w:r w:rsidR="00B6069F">
        <w:rPr>
          <w:rFonts w:ascii="Times New Roman" w:hAnsi="Times New Roman" w:cs="Times New Roman"/>
          <w:sz w:val="24"/>
          <w:szCs w:val="24"/>
        </w:rPr>
        <w:t>796</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04D76397" w14:textId="5E97E97F" w:rsidR="00967CC7" w:rsidRDefault="00967CC7"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- 2027 – </w:t>
      </w:r>
      <w:r w:rsidR="00B6069F">
        <w:rPr>
          <w:rFonts w:ascii="Times New Roman" w:hAnsi="Times New Roman" w:cs="Times New Roman"/>
          <w:sz w:val="24"/>
          <w:szCs w:val="24"/>
        </w:rPr>
        <w:t>121.068</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7321320A" w14:textId="18B9B214" w:rsidR="00A11EE4" w:rsidRDefault="00A11EE4"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- 2028 – </w:t>
      </w:r>
      <w:r w:rsidR="00B6069F">
        <w:rPr>
          <w:rFonts w:ascii="Times New Roman" w:hAnsi="Times New Roman" w:cs="Times New Roman"/>
          <w:sz w:val="24"/>
          <w:szCs w:val="24"/>
        </w:rPr>
        <w:t>112.521</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0DE58B9F" w14:textId="7DA90F44" w:rsidR="00A11EE4" w:rsidRDefault="00A11EE4"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- 2029 – </w:t>
      </w:r>
      <w:r w:rsidR="00B6069F">
        <w:rPr>
          <w:rFonts w:ascii="Times New Roman" w:hAnsi="Times New Roman" w:cs="Times New Roman"/>
          <w:sz w:val="24"/>
          <w:szCs w:val="24"/>
        </w:rPr>
        <w:t>103.612</w:t>
      </w:r>
      <w:r w:rsidR="0034106E">
        <w:rPr>
          <w:rFonts w:ascii="Times New Roman" w:hAnsi="Times New Roman" w:cs="Times New Roman"/>
          <w:sz w:val="24"/>
          <w:szCs w:val="24"/>
        </w:rPr>
        <w:t>,00</w:t>
      </w:r>
      <w:r>
        <w:rPr>
          <w:rFonts w:ascii="Times New Roman" w:hAnsi="Times New Roman" w:cs="Times New Roman"/>
          <w:sz w:val="24"/>
          <w:szCs w:val="24"/>
        </w:rPr>
        <w:t xml:space="preserve"> zł,</w:t>
      </w:r>
    </w:p>
    <w:p w14:paraId="13ECE0E0" w14:textId="78C5494F" w:rsidR="00967CC7" w:rsidRPr="00DB2B89" w:rsidRDefault="00A11EE4" w:rsidP="00396F6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- 2030 – </w:t>
      </w:r>
      <w:r w:rsidR="00B6069F">
        <w:rPr>
          <w:rFonts w:ascii="Times New Roman" w:hAnsi="Times New Roman" w:cs="Times New Roman"/>
          <w:sz w:val="24"/>
          <w:szCs w:val="24"/>
        </w:rPr>
        <w:t>94.882</w:t>
      </w:r>
      <w:r w:rsidR="005775FF">
        <w:rPr>
          <w:rFonts w:ascii="Times New Roman" w:hAnsi="Times New Roman" w:cs="Times New Roman"/>
          <w:sz w:val="24"/>
          <w:szCs w:val="24"/>
        </w:rPr>
        <w:t>,00</w:t>
      </w:r>
      <w:r>
        <w:rPr>
          <w:rFonts w:ascii="Times New Roman" w:hAnsi="Times New Roman" w:cs="Times New Roman"/>
          <w:sz w:val="24"/>
          <w:szCs w:val="24"/>
        </w:rPr>
        <w:t xml:space="preserve"> zł.</w:t>
      </w:r>
    </w:p>
    <w:p w14:paraId="05D34D67" w14:textId="13309110" w:rsidR="00910C81" w:rsidRDefault="00910C81" w:rsidP="00396F6F">
      <w:pPr>
        <w:spacing w:after="0" w:line="360" w:lineRule="auto"/>
        <w:jc w:val="both"/>
        <w:rPr>
          <w:rFonts w:ascii="Times New Roman" w:hAnsi="Times New Roman" w:cs="Times New Roman"/>
          <w:sz w:val="24"/>
          <w:szCs w:val="24"/>
        </w:rPr>
      </w:pPr>
      <w:r w:rsidRPr="00DB2B89">
        <w:rPr>
          <w:rFonts w:ascii="Times New Roman" w:hAnsi="Times New Roman" w:cs="Times New Roman"/>
          <w:sz w:val="24"/>
          <w:szCs w:val="24"/>
        </w:rPr>
        <w:t>Wskaźnik spłaty zobowiązań wynikając</w:t>
      </w:r>
      <w:r w:rsidR="007862B0" w:rsidRPr="00DB2B89">
        <w:rPr>
          <w:rFonts w:ascii="Times New Roman" w:hAnsi="Times New Roman" w:cs="Times New Roman"/>
          <w:sz w:val="24"/>
          <w:szCs w:val="24"/>
        </w:rPr>
        <w:t>y</w:t>
      </w:r>
      <w:r w:rsidRPr="00DB2B89">
        <w:rPr>
          <w:rFonts w:ascii="Times New Roman" w:hAnsi="Times New Roman" w:cs="Times New Roman"/>
          <w:sz w:val="24"/>
          <w:szCs w:val="24"/>
        </w:rPr>
        <w:t xml:space="preserve"> z art. 243 z uwzględnieniem art.</w:t>
      </w:r>
      <w:r w:rsidR="00546DC7" w:rsidRPr="00DB2B89">
        <w:rPr>
          <w:rFonts w:ascii="Times New Roman" w:hAnsi="Times New Roman" w:cs="Times New Roman"/>
          <w:sz w:val="24"/>
          <w:szCs w:val="24"/>
        </w:rPr>
        <w:t xml:space="preserve"> 244 jest spełniony we wszystkich latach objętych prognozą.</w:t>
      </w:r>
    </w:p>
    <w:p w14:paraId="4939D99F" w14:textId="77777777" w:rsidR="00145376" w:rsidRDefault="00145376" w:rsidP="00396F6F">
      <w:pPr>
        <w:spacing w:after="0" w:line="360" w:lineRule="auto"/>
        <w:jc w:val="both"/>
        <w:rPr>
          <w:rFonts w:ascii="Times New Roman" w:hAnsi="Times New Roman" w:cs="Times New Roman"/>
          <w:sz w:val="24"/>
          <w:szCs w:val="24"/>
        </w:rPr>
      </w:pPr>
    </w:p>
    <w:p w14:paraId="0A5FF74A" w14:textId="327BD263" w:rsidR="0074695D" w:rsidRDefault="00145376" w:rsidP="0074695D">
      <w:pPr>
        <w:pStyle w:val="Akapitzlist"/>
        <w:numPr>
          <w:ilvl w:val="0"/>
          <w:numId w:val="1"/>
        </w:numPr>
        <w:spacing w:after="0" w:line="360" w:lineRule="auto"/>
        <w:jc w:val="both"/>
        <w:rPr>
          <w:rFonts w:ascii="Times New Roman" w:hAnsi="Times New Roman" w:cs="Times New Roman"/>
          <w:b/>
          <w:bCs/>
          <w:sz w:val="24"/>
          <w:szCs w:val="24"/>
        </w:rPr>
      </w:pPr>
      <w:r w:rsidRPr="00145376">
        <w:rPr>
          <w:rFonts w:ascii="Times New Roman" w:hAnsi="Times New Roman" w:cs="Times New Roman"/>
          <w:b/>
          <w:bCs/>
          <w:sz w:val="24"/>
          <w:szCs w:val="24"/>
        </w:rPr>
        <w:t>Upoważnienia</w:t>
      </w:r>
    </w:p>
    <w:p w14:paraId="5342FC33" w14:textId="4A819A3A" w:rsidR="00145376" w:rsidRPr="00145376" w:rsidRDefault="00145376" w:rsidP="00145376">
      <w:pPr>
        <w:spacing w:after="0" w:line="360" w:lineRule="auto"/>
        <w:jc w:val="both"/>
        <w:rPr>
          <w:rFonts w:ascii="Times New Roman" w:hAnsi="Times New Roman" w:cs="Times New Roman"/>
          <w:sz w:val="24"/>
          <w:szCs w:val="24"/>
        </w:rPr>
      </w:pPr>
      <w:r w:rsidRPr="00145376">
        <w:rPr>
          <w:rFonts w:ascii="Times New Roman" w:hAnsi="Times New Roman" w:cs="Times New Roman"/>
          <w:sz w:val="24"/>
          <w:szCs w:val="24"/>
        </w:rPr>
        <w:t>Upoważnienia wynikające z uchwały stanowią upoważnieni</w:t>
      </w:r>
      <w:r w:rsidR="00165BE9">
        <w:rPr>
          <w:rFonts w:ascii="Times New Roman" w:hAnsi="Times New Roman" w:cs="Times New Roman"/>
          <w:sz w:val="24"/>
          <w:szCs w:val="24"/>
        </w:rPr>
        <w:t>a</w:t>
      </w:r>
      <w:r w:rsidRPr="00145376">
        <w:rPr>
          <w:rFonts w:ascii="Times New Roman" w:hAnsi="Times New Roman" w:cs="Times New Roman"/>
          <w:sz w:val="24"/>
          <w:szCs w:val="24"/>
        </w:rPr>
        <w:t xml:space="preserve"> dla Burmistrza do zaciągania zobowiązań, których nazwa i cel zostały wykazane w załączniku nr 2 do uchwały i stanowią tzw. przedsięwzięcia</w:t>
      </w:r>
      <w:r w:rsidR="00165BE9">
        <w:rPr>
          <w:rFonts w:ascii="Times New Roman" w:hAnsi="Times New Roman" w:cs="Times New Roman"/>
          <w:sz w:val="24"/>
          <w:szCs w:val="24"/>
        </w:rPr>
        <w:t xml:space="preserve">, z tytułu umów, których realizacja w latach następnych jest niezbędna do ciągłości działania jednostki oraz płatności wykraczają poza rok budżetowy. </w:t>
      </w:r>
      <w:r w:rsidR="00C63285">
        <w:rPr>
          <w:rFonts w:ascii="Times New Roman" w:hAnsi="Times New Roman" w:cs="Times New Roman"/>
          <w:sz w:val="24"/>
          <w:szCs w:val="24"/>
        </w:rPr>
        <w:t>Ponadto</w:t>
      </w:r>
      <w:r w:rsidR="00FC2B13">
        <w:rPr>
          <w:rFonts w:ascii="Times New Roman" w:hAnsi="Times New Roman" w:cs="Times New Roman"/>
          <w:sz w:val="24"/>
          <w:szCs w:val="24"/>
        </w:rPr>
        <w:t xml:space="preserve"> </w:t>
      </w:r>
      <w:r w:rsidR="00AC0245">
        <w:rPr>
          <w:rFonts w:ascii="Times New Roman" w:hAnsi="Times New Roman" w:cs="Times New Roman"/>
          <w:sz w:val="24"/>
          <w:szCs w:val="24"/>
        </w:rPr>
        <w:t xml:space="preserve">               </w:t>
      </w:r>
      <w:r w:rsidR="00915E71">
        <w:rPr>
          <w:rFonts w:ascii="Times New Roman" w:hAnsi="Times New Roman" w:cs="Times New Roman"/>
          <w:sz w:val="24"/>
          <w:szCs w:val="24"/>
        </w:rPr>
        <w:t>w uchwale zawarto upoważnienie</w:t>
      </w:r>
      <w:r w:rsidR="00165BE9">
        <w:rPr>
          <w:rFonts w:ascii="Times New Roman" w:hAnsi="Times New Roman" w:cs="Times New Roman"/>
          <w:sz w:val="24"/>
          <w:szCs w:val="24"/>
        </w:rPr>
        <w:t xml:space="preserve"> </w:t>
      </w:r>
      <w:r w:rsidR="00FC2B13">
        <w:rPr>
          <w:rFonts w:ascii="Times New Roman" w:hAnsi="Times New Roman" w:cs="Times New Roman"/>
          <w:sz w:val="24"/>
          <w:szCs w:val="24"/>
        </w:rPr>
        <w:t xml:space="preserve">do dokonywania zmian limitów zobowiązań i wydatków na przedsięwzięcia finansowane z udziałem środków zewnętrznych. </w:t>
      </w:r>
      <w:r w:rsidR="00B92D75">
        <w:rPr>
          <w:rFonts w:ascii="Times New Roman" w:hAnsi="Times New Roman" w:cs="Times New Roman"/>
          <w:sz w:val="24"/>
          <w:szCs w:val="24"/>
        </w:rPr>
        <w:t>Rada Miasta upoważnia również organ wykonawczy do przekazania uprawnień kierownikom jednostek</w:t>
      </w:r>
      <w:r w:rsidR="00FC2B13">
        <w:rPr>
          <w:rFonts w:ascii="Times New Roman" w:hAnsi="Times New Roman" w:cs="Times New Roman"/>
          <w:sz w:val="24"/>
          <w:szCs w:val="24"/>
        </w:rPr>
        <w:t xml:space="preserve"> do zaciągania zobowiązań z tytułu umów, których realizacja jest niezbędna do zapewnienia ciągłości działania oraz </w:t>
      </w:r>
      <w:r w:rsidR="00B92D75">
        <w:rPr>
          <w:rFonts w:ascii="Times New Roman" w:hAnsi="Times New Roman" w:cs="Times New Roman"/>
          <w:sz w:val="24"/>
          <w:szCs w:val="24"/>
        </w:rPr>
        <w:t xml:space="preserve"> realizujących niektóre z przedsięwzięć wymienionych </w:t>
      </w:r>
      <w:r w:rsidR="00C9684A">
        <w:rPr>
          <w:rFonts w:ascii="Times New Roman" w:hAnsi="Times New Roman" w:cs="Times New Roman"/>
          <w:sz w:val="24"/>
          <w:szCs w:val="24"/>
        </w:rPr>
        <w:t xml:space="preserve"> </w:t>
      </w:r>
      <w:r w:rsidR="00B92D75">
        <w:rPr>
          <w:rFonts w:ascii="Times New Roman" w:hAnsi="Times New Roman" w:cs="Times New Roman"/>
          <w:sz w:val="24"/>
          <w:szCs w:val="24"/>
        </w:rPr>
        <w:t>w zał. nr 2 do WPF</w:t>
      </w:r>
    </w:p>
    <w:p w14:paraId="6318C560" w14:textId="77777777" w:rsidR="00145376" w:rsidRPr="00145376" w:rsidRDefault="00145376" w:rsidP="00145376">
      <w:pPr>
        <w:spacing w:after="0" w:line="360" w:lineRule="auto"/>
        <w:jc w:val="both"/>
        <w:rPr>
          <w:rFonts w:ascii="Times New Roman" w:hAnsi="Times New Roman" w:cs="Times New Roman"/>
          <w:sz w:val="24"/>
          <w:szCs w:val="24"/>
        </w:rPr>
      </w:pPr>
    </w:p>
    <w:p w14:paraId="164D09D7" w14:textId="77777777" w:rsidR="00613EB8" w:rsidRDefault="00613EB8" w:rsidP="00396F6F">
      <w:pPr>
        <w:spacing w:after="0" w:line="360" w:lineRule="auto"/>
        <w:jc w:val="both"/>
        <w:rPr>
          <w:rFonts w:ascii="Times New Roman" w:hAnsi="Times New Roman" w:cs="Times New Roman"/>
          <w:sz w:val="24"/>
          <w:szCs w:val="24"/>
        </w:rPr>
      </w:pPr>
    </w:p>
    <w:p w14:paraId="247F3108" w14:textId="77777777" w:rsidR="00613EB8" w:rsidRDefault="00613EB8" w:rsidP="00396F6F">
      <w:pPr>
        <w:spacing w:after="0" w:line="360" w:lineRule="auto"/>
        <w:jc w:val="both"/>
        <w:rPr>
          <w:rFonts w:ascii="Times New Roman" w:hAnsi="Times New Roman" w:cs="Times New Roman"/>
          <w:sz w:val="24"/>
          <w:szCs w:val="24"/>
        </w:rPr>
      </w:pPr>
    </w:p>
    <w:p w14:paraId="6947C4F3" w14:textId="6B23CB3B" w:rsidR="00322F93" w:rsidRDefault="00322F93" w:rsidP="008F4550">
      <w:pPr>
        <w:spacing w:after="0" w:line="360" w:lineRule="auto"/>
        <w:jc w:val="both"/>
        <w:rPr>
          <w:rFonts w:ascii="Times New Roman" w:hAnsi="Times New Roman" w:cs="Times New Roman"/>
          <w:sz w:val="24"/>
          <w:szCs w:val="24"/>
        </w:rPr>
      </w:pPr>
    </w:p>
    <w:sectPr w:rsidR="00322F93" w:rsidSect="003D1BA7">
      <w:headerReference w:type="even" r:id="rId12"/>
      <w:headerReference w:type="default" r:id="rId13"/>
      <w:footerReference w:type="even" r:id="rId14"/>
      <w:footerReference w:type="default" r:id="rId15"/>
      <w:headerReference w:type="first" r:id="rId16"/>
      <w:footerReference w:type="first" r:id="rId17"/>
      <w:pgSz w:w="11906" w:h="16838"/>
      <w:pgMar w:top="993" w:right="1274"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CE4A49" w14:textId="77777777" w:rsidR="00422AB5" w:rsidRDefault="00422AB5" w:rsidP="00400EB7">
      <w:pPr>
        <w:spacing w:after="0" w:line="240" w:lineRule="auto"/>
      </w:pPr>
      <w:r>
        <w:separator/>
      </w:r>
    </w:p>
  </w:endnote>
  <w:endnote w:type="continuationSeparator" w:id="0">
    <w:p w14:paraId="4B924DED" w14:textId="77777777" w:rsidR="00422AB5" w:rsidRDefault="00422AB5" w:rsidP="00400E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D7125" w14:textId="77777777" w:rsidR="00400EB7" w:rsidRDefault="00400EB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290345"/>
      <w:docPartObj>
        <w:docPartGallery w:val="Page Numbers (Bottom of Page)"/>
        <w:docPartUnique/>
      </w:docPartObj>
    </w:sdtPr>
    <w:sdtContent>
      <w:p w14:paraId="7D206468" w14:textId="77777777" w:rsidR="00400EB7" w:rsidRDefault="00400EB7">
        <w:pPr>
          <w:pStyle w:val="Stopka"/>
          <w:jc w:val="right"/>
        </w:pPr>
        <w:r>
          <w:fldChar w:fldCharType="begin"/>
        </w:r>
        <w:r>
          <w:instrText>PAGE   \* MERGEFORMAT</w:instrText>
        </w:r>
        <w:r>
          <w:fldChar w:fldCharType="separate"/>
        </w:r>
        <w:r w:rsidR="002C05F7">
          <w:rPr>
            <w:noProof/>
          </w:rPr>
          <w:t>6</w:t>
        </w:r>
        <w:r>
          <w:fldChar w:fldCharType="end"/>
        </w:r>
      </w:p>
    </w:sdtContent>
  </w:sdt>
  <w:p w14:paraId="5EB8E5B6" w14:textId="77777777" w:rsidR="00400EB7" w:rsidRDefault="00400EB7">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BEC55" w14:textId="77777777" w:rsidR="00400EB7" w:rsidRDefault="00400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86D3D9" w14:textId="77777777" w:rsidR="00422AB5" w:rsidRDefault="00422AB5" w:rsidP="00400EB7">
      <w:pPr>
        <w:spacing w:after="0" w:line="240" w:lineRule="auto"/>
      </w:pPr>
      <w:r>
        <w:separator/>
      </w:r>
    </w:p>
  </w:footnote>
  <w:footnote w:type="continuationSeparator" w:id="0">
    <w:p w14:paraId="6B282EFD" w14:textId="77777777" w:rsidR="00422AB5" w:rsidRDefault="00422AB5" w:rsidP="00400E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C04AC" w14:textId="77777777" w:rsidR="00400EB7" w:rsidRDefault="00400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B5F6E" w14:textId="77777777" w:rsidR="00400EB7" w:rsidRDefault="00400EB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1A323" w14:textId="77777777" w:rsidR="00400EB7" w:rsidRDefault="00400EB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7227B"/>
    <w:multiLevelType w:val="hybridMultilevel"/>
    <w:tmpl w:val="0C1E26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EF34CE2"/>
    <w:multiLevelType w:val="hybridMultilevel"/>
    <w:tmpl w:val="BD4462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442E51C7"/>
    <w:multiLevelType w:val="hybridMultilevel"/>
    <w:tmpl w:val="F286ABD4"/>
    <w:lvl w:ilvl="0" w:tplc="0415000F">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5EA40686"/>
    <w:multiLevelType w:val="hybridMultilevel"/>
    <w:tmpl w:val="753CEE8A"/>
    <w:lvl w:ilvl="0" w:tplc="0415000F">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6EF86A5E"/>
    <w:multiLevelType w:val="hybridMultilevel"/>
    <w:tmpl w:val="31D2C5F4"/>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5" w15:restartNumberingAfterBreak="0">
    <w:nsid w:val="7B886B8D"/>
    <w:multiLevelType w:val="hybridMultilevel"/>
    <w:tmpl w:val="C69CCA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951930460">
    <w:abstractNumId w:val="5"/>
  </w:num>
  <w:num w:numId="2" w16cid:durableId="748846267">
    <w:abstractNumId w:val="0"/>
  </w:num>
  <w:num w:numId="3" w16cid:durableId="667247684">
    <w:abstractNumId w:val="1"/>
  </w:num>
  <w:num w:numId="4" w16cid:durableId="1521311793">
    <w:abstractNumId w:val="4"/>
  </w:num>
  <w:num w:numId="5" w16cid:durableId="191189340">
    <w:abstractNumId w:val="2"/>
  </w:num>
  <w:num w:numId="6" w16cid:durableId="130122468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A7E57"/>
    <w:rsid w:val="000056BF"/>
    <w:rsid w:val="00024A62"/>
    <w:rsid w:val="00025076"/>
    <w:rsid w:val="0003038A"/>
    <w:rsid w:val="0003105E"/>
    <w:rsid w:val="000312CA"/>
    <w:rsid w:val="00034E0C"/>
    <w:rsid w:val="00037339"/>
    <w:rsid w:val="000417C8"/>
    <w:rsid w:val="000479C3"/>
    <w:rsid w:val="000506EA"/>
    <w:rsid w:val="00050F3F"/>
    <w:rsid w:val="00062B8B"/>
    <w:rsid w:val="00063B43"/>
    <w:rsid w:val="00084B6C"/>
    <w:rsid w:val="000916A0"/>
    <w:rsid w:val="0009592C"/>
    <w:rsid w:val="00095C89"/>
    <w:rsid w:val="000A1108"/>
    <w:rsid w:val="000B44A3"/>
    <w:rsid w:val="000B4D3F"/>
    <w:rsid w:val="000B50D2"/>
    <w:rsid w:val="000B5155"/>
    <w:rsid w:val="000C6C71"/>
    <w:rsid w:val="000C7360"/>
    <w:rsid w:val="000D07BB"/>
    <w:rsid w:val="000D7674"/>
    <w:rsid w:val="000E3DF6"/>
    <w:rsid w:val="0010126E"/>
    <w:rsid w:val="001017BC"/>
    <w:rsid w:val="00111F15"/>
    <w:rsid w:val="00114CA1"/>
    <w:rsid w:val="0011523C"/>
    <w:rsid w:val="0013282C"/>
    <w:rsid w:val="00145376"/>
    <w:rsid w:val="00147175"/>
    <w:rsid w:val="001501E0"/>
    <w:rsid w:val="00153EC0"/>
    <w:rsid w:val="00165BE9"/>
    <w:rsid w:val="00175DDD"/>
    <w:rsid w:val="001761EA"/>
    <w:rsid w:val="001769FD"/>
    <w:rsid w:val="00177B1E"/>
    <w:rsid w:val="00181189"/>
    <w:rsid w:val="001845F5"/>
    <w:rsid w:val="00186875"/>
    <w:rsid w:val="00186EDE"/>
    <w:rsid w:val="00190B43"/>
    <w:rsid w:val="00195876"/>
    <w:rsid w:val="001A2690"/>
    <w:rsid w:val="001A7B8B"/>
    <w:rsid w:val="001A7FD6"/>
    <w:rsid w:val="001B5A20"/>
    <w:rsid w:val="001E2699"/>
    <w:rsid w:val="001E3ACB"/>
    <w:rsid w:val="00202783"/>
    <w:rsid w:val="00210F6F"/>
    <w:rsid w:val="00221E8F"/>
    <w:rsid w:val="00221F83"/>
    <w:rsid w:val="00231DC8"/>
    <w:rsid w:val="00241733"/>
    <w:rsid w:val="002475B4"/>
    <w:rsid w:val="00250317"/>
    <w:rsid w:val="002531BF"/>
    <w:rsid w:val="00260BFB"/>
    <w:rsid w:val="00264277"/>
    <w:rsid w:val="00266170"/>
    <w:rsid w:val="00282482"/>
    <w:rsid w:val="00286D74"/>
    <w:rsid w:val="002939CC"/>
    <w:rsid w:val="002A3CC2"/>
    <w:rsid w:val="002A4CAC"/>
    <w:rsid w:val="002B535E"/>
    <w:rsid w:val="002B5843"/>
    <w:rsid w:val="002C05F7"/>
    <w:rsid w:val="002C4801"/>
    <w:rsid w:val="002D4101"/>
    <w:rsid w:val="002E6776"/>
    <w:rsid w:val="002F00E7"/>
    <w:rsid w:val="002F5351"/>
    <w:rsid w:val="003005CC"/>
    <w:rsid w:val="003016D9"/>
    <w:rsid w:val="00304231"/>
    <w:rsid w:val="0030781D"/>
    <w:rsid w:val="003119A0"/>
    <w:rsid w:val="00320658"/>
    <w:rsid w:val="00320A1F"/>
    <w:rsid w:val="00322F93"/>
    <w:rsid w:val="00323BA6"/>
    <w:rsid w:val="0032653D"/>
    <w:rsid w:val="003400A5"/>
    <w:rsid w:val="0034106E"/>
    <w:rsid w:val="00353465"/>
    <w:rsid w:val="00356E1B"/>
    <w:rsid w:val="00363BF6"/>
    <w:rsid w:val="00373B69"/>
    <w:rsid w:val="00384AD1"/>
    <w:rsid w:val="00390628"/>
    <w:rsid w:val="00394392"/>
    <w:rsid w:val="00396F6F"/>
    <w:rsid w:val="003B18D6"/>
    <w:rsid w:val="003B4157"/>
    <w:rsid w:val="003B4849"/>
    <w:rsid w:val="003B5377"/>
    <w:rsid w:val="003C1D2D"/>
    <w:rsid w:val="003C4343"/>
    <w:rsid w:val="003D09E7"/>
    <w:rsid w:val="003D1BA7"/>
    <w:rsid w:val="003D4937"/>
    <w:rsid w:val="003E2F15"/>
    <w:rsid w:val="003E43D3"/>
    <w:rsid w:val="003F43EE"/>
    <w:rsid w:val="003F58E6"/>
    <w:rsid w:val="00400EB7"/>
    <w:rsid w:val="004035D5"/>
    <w:rsid w:val="004040DE"/>
    <w:rsid w:val="00422AB5"/>
    <w:rsid w:val="00426BA0"/>
    <w:rsid w:val="00434487"/>
    <w:rsid w:val="004356AE"/>
    <w:rsid w:val="0044629F"/>
    <w:rsid w:val="004558AE"/>
    <w:rsid w:val="004648C5"/>
    <w:rsid w:val="004708CA"/>
    <w:rsid w:val="00485C33"/>
    <w:rsid w:val="004C1632"/>
    <w:rsid w:val="004C4519"/>
    <w:rsid w:val="004C4A3F"/>
    <w:rsid w:val="004D0FA6"/>
    <w:rsid w:val="004D518C"/>
    <w:rsid w:val="004D78FB"/>
    <w:rsid w:val="004F1AA8"/>
    <w:rsid w:val="004F1D20"/>
    <w:rsid w:val="004F2C84"/>
    <w:rsid w:val="004F6103"/>
    <w:rsid w:val="00500297"/>
    <w:rsid w:val="0050047D"/>
    <w:rsid w:val="00504B20"/>
    <w:rsid w:val="00512647"/>
    <w:rsid w:val="00512FC8"/>
    <w:rsid w:val="005147BE"/>
    <w:rsid w:val="0051480E"/>
    <w:rsid w:val="005218D9"/>
    <w:rsid w:val="00523968"/>
    <w:rsid w:val="00534A07"/>
    <w:rsid w:val="005352B1"/>
    <w:rsid w:val="00535DE2"/>
    <w:rsid w:val="00541412"/>
    <w:rsid w:val="0054189D"/>
    <w:rsid w:val="005436E5"/>
    <w:rsid w:val="00546DC7"/>
    <w:rsid w:val="005478FA"/>
    <w:rsid w:val="00553C81"/>
    <w:rsid w:val="0056737C"/>
    <w:rsid w:val="005775FF"/>
    <w:rsid w:val="00583CA4"/>
    <w:rsid w:val="00585764"/>
    <w:rsid w:val="0059271A"/>
    <w:rsid w:val="005A3BEE"/>
    <w:rsid w:val="005A5B04"/>
    <w:rsid w:val="005B3FCC"/>
    <w:rsid w:val="005B6A1C"/>
    <w:rsid w:val="005B6DB0"/>
    <w:rsid w:val="005C2665"/>
    <w:rsid w:val="005C6E12"/>
    <w:rsid w:val="005C78CC"/>
    <w:rsid w:val="005D0DCA"/>
    <w:rsid w:val="005D695C"/>
    <w:rsid w:val="005E0ED1"/>
    <w:rsid w:val="005E532E"/>
    <w:rsid w:val="005E6B5F"/>
    <w:rsid w:val="005F0811"/>
    <w:rsid w:val="005F5E03"/>
    <w:rsid w:val="00603A69"/>
    <w:rsid w:val="006044FD"/>
    <w:rsid w:val="00607F05"/>
    <w:rsid w:val="00610C81"/>
    <w:rsid w:val="006125D9"/>
    <w:rsid w:val="00613EB8"/>
    <w:rsid w:val="00632174"/>
    <w:rsid w:val="00635EFC"/>
    <w:rsid w:val="00636A83"/>
    <w:rsid w:val="00637322"/>
    <w:rsid w:val="00645043"/>
    <w:rsid w:val="00657651"/>
    <w:rsid w:val="00662C4F"/>
    <w:rsid w:val="00663748"/>
    <w:rsid w:val="00663EEC"/>
    <w:rsid w:val="006656D2"/>
    <w:rsid w:val="0067228D"/>
    <w:rsid w:val="006741F4"/>
    <w:rsid w:val="00680815"/>
    <w:rsid w:val="00690D02"/>
    <w:rsid w:val="00690ECD"/>
    <w:rsid w:val="006A097D"/>
    <w:rsid w:val="006A360D"/>
    <w:rsid w:val="006B195C"/>
    <w:rsid w:val="006B6F03"/>
    <w:rsid w:val="006C33C0"/>
    <w:rsid w:val="006C7652"/>
    <w:rsid w:val="006D06B9"/>
    <w:rsid w:val="006D72B0"/>
    <w:rsid w:val="006E014D"/>
    <w:rsid w:val="006E3CDD"/>
    <w:rsid w:val="006F3A76"/>
    <w:rsid w:val="006F5153"/>
    <w:rsid w:val="00702651"/>
    <w:rsid w:val="00702DE3"/>
    <w:rsid w:val="00712CB9"/>
    <w:rsid w:val="007145F0"/>
    <w:rsid w:val="00714DA4"/>
    <w:rsid w:val="00727F00"/>
    <w:rsid w:val="00735543"/>
    <w:rsid w:val="0074030E"/>
    <w:rsid w:val="00742FC2"/>
    <w:rsid w:val="00744BD1"/>
    <w:rsid w:val="0074695D"/>
    <w:rsid w:val="00750705"/>
    <w:rsid w:val="00752548"/>
    <w:rsid w:val="007551D0"/>
    <w:rsid w:val="00757FD5"/>
    <w:rsid w:val="00764B69"/>
    <w:rsid w:val="007811A3"/>
    <w:rsid w:val="007848DC"/>
    <w:rsid w:val="007862B0"/>
    <w:rsid w:val="00786999"/>
    <w:rsid w:val="00793915"/>
    <w:rsid w:val="007B5F96"/>
    <w:rsid w:val="007D1B41"/>
    <w:rsid w:val="007D2E1B"/>
    <w:rsid w:val="007D3AF8"/>
    <w:rsid w:val="007D4589"/>
    <w:rsid w:val="007E155F"/>
    <w:rsid w:val="007E3CE1"/>
    <w:rsid w:val="007E4578"/>
    <w:rsid w:val="007E5575"/>
    <w:rsid w:val="007E76AB"/>
    <w:rsid w:val="008006D0"/>
    <w:rsid w:val="008121F2"/>
    <w:rsid w:val="008177A1"/>
    <w:rsid w:val="008178F0"/>
    <w:rsid w:val="00821D15"/>
    <w:rsid w:val="00835C2B"/>
    <w:rsid w:val="008366A7"/>
    <w:rsid w:val="0083686B"/>
    <w:rsid w:val="00850E05"/>
    <w:rsid w:val="00864FEF"/>
    <w:rsid w:val="00865DD6"/>
    <w:rsid w:val="00874FC5"/>
    <w:rsid w:val="008877EE"/>
    <w:rsid w:val="008A4569"/>
    <w:rsid w:val="008A5625"/>
    <w:rsid w:val="008B06B1"/>
    <w:rsid w:val="008B7EB7"/>
    <w:rsid w:val="008D1E4C"/>
    <w:rsid w:val="008D5753"/>
    <w:rsid w:val="008E4F9D"/>
    <w:rsid w:val="008F4550"/>
    <w:rsid w:val="008F681B"/>
    <w:rsid w:val="008F7225"/>
    <w:rsid w:val="008F76EB"/>
    <w:rsid w:val="00907A91"/>
    <w:rsid w:val="00910C81"/>
    <w:rsid w:val="00915E71"/>
    <w:rsid w:val="00924030"/>
    <w:rsid w:val="00932D92"/>
    <w:rsid w:val="00936F7C"/>
    <w:rsid w:val="00940312"/>
    <w:rsid w:val="009413FE"/>
    <w:rsid w:val="00943DDE"/>
    <w:rsid w:val="0095202F"/>
    <w:rsid w:val="009559CF"/>
    <w:rsid w:val="009616A0"/>
    <w:rsid w:val="00963A33"/>
    <w:rsid w:val="0096497C"/>
    <w:rsid w:val="00966B7D"/>
    <w:rsid w:val="00967CC7"/>
    <w:rsid w:val="009918B1"/>
    <w:rsid w:val="00995CE5"/>
    <w:rsid w:val="009A72E8"/>
    <w:rsid w:val="009B3936"/>
    <w:rsid w:val="009B5B7D"/>
    <w:rsid w:val="009C3392"/>
    <w:rsid w:val="009C35DC"/>
    <w:rsid w:val="009C4E34"/>
    <w:rsid w:val="009C638B"/>
    <w:rsid w:val="009D352B"/>
    <w:rsid w:val="009E5B57"/>
    <w:rsid w:val="009F40C8"/>
    <w:rsid w:val="009F507F"/>
    <w:rsid w:val="009F5CD8"/>
    <w:rsid w:val="009F7C9A"/>
    <w:rsid w:val="00A05B43"/>
    <w:rsid w:val="00A11EE4"/>
    <w:rsid w:val="00A14EF5"/>
    <w:rsid w:val="00A17835"/>
    <w:rsid w:val="00A36821"/>
    <w:rsid w:val="00A65D8E"/>
    <w:rsid w:val="00A677D3"/>
    <w:rsid w:val="00A7713C"/>
    <w:rsid w:val="00A827F1"/>
    <w:rsid w:val="00A8486E"/>
    <w:rsid w:val="00A876DB"/>
    <w:rsid w:val="00AA1416"/>
    <w:rsid w:val="00AA337B"/>
    <w:rsid w:val="00AA6961"/>
    <w:rsid w:val="00AA7E57"/>
    <w:rsid w:val="00AC0245"/>
    <w:rsid w:val="00AC42B8"/>
    <w:rsid w:val="00AC6261"/>
    <w:rsid w:val="00AD20EE"/>
    <w:rsid w:val="00AD2EDB"/>
    <w:rsid w:val="00AD41D3"/>
    <w:rsid w:val="00AD75C1"/>
    <w:rsid w:val="00AE3A88"/>
    <w:rsid w:val="00AF10F2"/>
    <w:rsid w:val="00AF322C"/>
    <w:rsid w:val="00AF51B2"/>
    <w:rsid w:val="00B105C3"/>
    <w:rsid w:val="00B11488"/>
    <w:rsid w:val="00B1536A"/>
    <w:rsid w:val="00B16436"/>
    <w:rsid w:val="00B174F2"/>
    <w:rsid w:val="00B221F9"/>
    <w:rsid w:val="00B227C6"/>
    <w:rsid w:val="00B2415C"/>
    <w:rsid w:val="00B25415"/>
    <w:rsid w:val="00B304D0"/>
    <w:rsid w:val="00B36F52"/>
    <w:rsid w:val="00B45ADF"/>
    <w:rsid w:val="00B46281"/>
    <w:rsid w:val="00B464B3"/>
    <w:rsid w:val="00B548B8"/>
    <w:rsid w:val="00B55626"/>
    <w:rsid w:val="00B57106"/>
    <w:rsid w:val="00B60130"/>
    <w:rsid w:val="00B6069F"/>
    <w:rsid w:val="00B70121"/>
    <w:rsid w:val="00B70ACB"/>
    <w:rsid w:val="00B7394C"/>
    <w:rsid w:val="00B74D9C"/>
    <w:rsid w:val="00B75C46"/>
    <w:rsid w:val="00B7733C"/>
    <w:rsid w:val="00B81D00"/>
    <w:rsid w:val="00B826B7"/>
    <w:rsid w:val="00B84710"/>
    <w:rsid w:val="00B9270C"/>
    <w:rsid w:val="00B92D75"/>
    <w:rsid w:val="00BA1F86"/>
    <w:rsid w:val="00BA288C"/>
    <w:rsid w:val="00BC22A1"/>
    <w:rsid w:val="00BC252B"/>
    <w:rsid w:val="00BC5A7C"/>
    <w:rsid w:val="00BD7262"/>
    <w:rsid w:val="00BE69E7"/>
    <w:rsid w:val="00BF14C2"/>
    <w:rsid w:val="00BF228C"/>
    <w:rsid w:val="00C0133F"/>
    <w:rsid w:val="00C02F2E"/>
    <w:rsid w:val="00C07C99"/>
    <w:rsid w:val="00C13BD2"/>
    <w:rsid w:val="00C22CFE"/>
    <w:rsid w:val="00C22F65"/>
    <w:rsid w:val="00C23C4F"/>
    <w:rsid w:val="00C23EE0"/>
    <w:rsid w:val="00C247DC"/>
    <w:rsid w:val="00C31881"/>
    <w:rsid w:val="00C623C6"/>
    <w:rsid w:val="00C63285"/>
    <w:rsid w:val="00C7031B"/>
    <w:rsid w:val="00C70A4D"/>
    <w:rsid w:val="00C9498E"/>
    <w:rsid w:val="00C9684A"/>
    <w:rsid w:val="00CA0CE4"/>
    <w:rsid w:val="00CA1C7E"/>
    <w:rsid w:val="00CA4CB3"/>
    <w:rsid w:val="00CA57A2"/>
    <w:rsid w:val="00CA6ABA"/>
    <w:rsid w:val="00CB5E75"/>
    <w:rsid w:val="00CC6977"/>
    <w:rsid w:val="00CD2274"/>
    <w:rsid w:val="00CD37DE"/>
    <w:rsid w:val="00CE3814"/>
    <w:rsid w:val="00CF4EA6"/>
    <w:rsid w:val="00D05452"/>
    <w:rsid w:val="00D25676"/>
    <w:rsid w:val="00D25B1F"/>
    <w:rsid w:val="00D30D37"/>
    <w:rsid w:val="00D3598D"/>
    <w:rsid w:val="00D40197"/>
    <w:rsid w:val="00D47ECC"/>
    <w:rsid w:val="00D62D90"/>
    <w:rsid w:val="00D66C5F"/>
    <w:rsid w:val="00D76352"/>
    <w:rsid w:val="00D80B09"/>
    <w:rsid w:val="00D83CCE"/>
    <w:rsid w:val="00D94A14"/>
    <w:rsid w:val="00DA1D9F"/>
    <w:rsid w:val="00DA52D1"/>
    <w:rsid w:val="00DB2407"/>
    <w:rsid w:val="00DB2B89"/>
    <w:rsid w:val="00DB594E"/>
    <w:rsid w:val="00DC4D7A"/>
    <w:rsid w:val="00DE259A"/>
    <w:rsid w:val="00DE37DC"/>
    <w:rsid w:val="00DF431C"/>
    <w:rsid w:val="00DF6E79"/>
    <w:rsid w:val="00E031D0"/>
    <w:rsid w:val="00E03EEA"/>
    <w:rsid w:val="00E074D8"/>
    <w:rsid w:val="00E13EA2"/>
    <w:rsid w:val="00E24C2E"/>
    <w:rsid w:val="00E33779"/>
    <w:rsid w:val="00E36B7B"/>
    <w:rsid w:val="00E446CB"/>
    <w:rsid w:val="00E44A23"/>
    <w:rsid w:val="00E46C5C"/>
    <w:rsid w:val="00E55066"/>
    <w:rsid w:val="00E730E8"/>
    <w:rsid w:val="00E776D6"/>
    <w:rsid w:val="00E83B38"/>
    <w:rsid w:val="00E854C7"/>
    <w:rsid w:val="00E85690"/>
    <w:rsid w:val="00E94CC4"/>
    <w:rsid w:val="00E94D39"/>
    <w:rsid w:val="00E97A12"/>
    <w:rsid w:val="00EB3E52"/>
    <w:rsid w:val="00ED459D"/>
    <w:rsid w:val="00ED5EA2"/>
    <w:rsid w:val="00ED78D9"/>
    <w:rsid w:val="00EE52CC"/>
    <w:rsid w:val="00EF3709"/>
    <w:rsid w:val="00F10105"/>
    <w:rsid w:val="00F15A94"/>
    <w:rsid w:val="00F252C7"/>
    <w:rsid w:val="00F45F24"/>
    <w:rsid w:val="00F547FB"/>
    <w:rsid w:val="00F626B7"/>
    <w:rsid w:val="00F628FB"/>
    <w:rsid w:val="00F726E5"/>
    <w:rsid w:val="00F729F4"/>
    <w:rsid w:val="00F775FD"/>
    <w:rsid w:val="00F81FA9"/>
    <w:rsid w:val="00F85BAB"/>
    <w:rsid w:val="00F945BA"/>
    <w:rsid w:val="00F94E46"/>
    <w:rsid w:val="00FB472C"/>
    <w:rsid w:val="00FC2B13"/>
    <w:rsid w:val="00FD6691"/>
    <w:rsid w:val="00FE03F2"/>
    <w:rsid w:val="00FE752F"/>
    <w:rsid w:val="00FE7E0E"/>
    <w:rsid w:val="00FF3C33"/>
    <w:rsid w:val="00FF545E"/>
    <w:rsid w:val="00FF590A"/>
    <w:rsid w:val="00FF66A0"/>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7112BE"/>
  <w15:docId w15:val="{79F52B1C-9EE9-489B-9B76-0C56E51AF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D7262"/>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AA7E57"/>
    <w:pPr>
      <w:ind w:left="720"/>
      <w:contextualSpacing/>
    </w:pPr>
  </w:style>
  <w:style w:type="table" w:styleId="Tabela-Siatka">
    <w:name w:val="Table Grid"/>
    <w:basedOn w:val="Standardowy"/>
    <w:uiPriority w:val="59"/>
    <w:rsid w:val="001E26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A827F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827F1"/>
    <w:rPr>
      <w:rFonts w:ascii="Tahoma" w:hAnsi="Tahoma" w:cs="Tahoma"/>
      <w:sz w:val="16"/>
      <w:szCs w:val="16"/>
    </w:rPr>
  </w:style>
  <w:style w:type="paragraph" w:styleId="Nagwek">
    <w:name w:val="header"/>
    <w:basedOn w:val="Normalny"/>
    <w:link w:val="NagwekZnak"/>
    <w:uiPriority w:val="99"/>
    <w:unhideWhenUsed/>
    <w:rsid w:val="00400EB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00EB7"/>
  </w:style>
  <w:style w:type="paragraph" w:styleId="Stopka">
    <w:name w:val="footer"/>
    <w:basedOn w:val="Normalny"/>
    <w:link w:val="StopkaZnak"/>
    <w:uiPriority w:val="99"/>
    <w:unhideWhenUsed/>
    <w:rsid w:val="00400EB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00EB7"/>
  </w:style>
  <w:style w:type="paragraph" w:customStyle="1" w:styleId="Default">
    <w:name w:val="Default"/>
    <w:rsid w:val="004C4519"/>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F726E5"/>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F726E5"/>
    <w:rPr>
      <w:sz w:val="20"/>
      <w:szCs w:val="20"/>
    </w:rPr>
  </w:style>
  <w:style w:type="character" w:styleId="Odwoanieprzypisukocowego">
    <w:name w:val="endnote reference"/>
    <w:basedOn w:val="Domylnaczcionkaakapitu"/>
    <w:uiPriority w:val="99"/>
    <w:semiHidden/>
    <w:unhideWhenUsed/>
    <w:rsid w:val="00F726E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21557">
      <w:bodyDiv w:val="1"/>
      <w:marLeft w:val="0"/>
      <w:marRight w:val="0"/>
      <w:marTop w:val="0"/>
      <w:marBottom w:val="0"/>
      <w:divBdr>
        <w:top w:val="none" w:sz="0" w:space="0" w:color="auto"/>
        <w:left w:val="none" w:sz="0" w:space="0" w:color="auto"/>
        <w:bottom w:val="none" w:sz="0" w:space="0" w:color="auto"/>
        <w:right w:val="none" w:sz="0" w:space="0" w:color="auto"/>
      </w:divBdr>
    </w:div>
    <w:div w:id="631640491">
      <w:bodyDiv w:val="1"/>
      <w:marLeft w:val="0"/>
      <w:marRight w:val="0"/>
      <w:marTop w:val="0"/>
      <w:marBottom w:val="0"/>
      <w:divBdr>
        <w:top w:val="none" w:sz="0" w:space="0" w:color="auto"/>
        <w:left w:val="none" w:sz="0" w:space="0" w:color="auto"/>
        <w:bottom w:val="none" w:sz="0" w:space="0" w:color="auto"/>
        <w:right w:val="none" w:sz="0" w:space="0" w:color="auto"/>
      </w:divBdr>
    </w:div>
    <w:div w:id="965745266">
      <w:bodyDiv w:val="1"/>
      <w:marLeft w:val="0"/>
      <w:marRight w:val="0"/>
      <w:marTop w:val="0"/>
      <w:marBottom w:val="0"/>
      <w:divBdr>
        <w:top w:val="none" w:sz="0" w:space="0" w:color="auto"/>
        <w:left w:val="none" w:sz="0" w:space="0" w:color="auto"/>
        <w:bottom w:val="none" w:sz="0" w:space="0" w:color="auto"/>
        <w:right w:val="none" w:sz="0" w:space="0" w:color="auto"/>
      </w:divBdr>
    </w:div>
    <w:div w:id="200469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chart" Target="charts/chart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736432987612775"/>
          <c:y val="7.1492403932082213E-2"/>
          <c:w val="0.84815041692409487"/>
          <c:h val="0.78035338076038097"/>
        </c:manualLayout>
      </c:layout>
      <c:barChart>
        <c:barDir val="col"/>
        <c:grouping val="stacked"/>
        <c:varyColors val="0"/>
        <c:ser>
          <c:idx val="0"/>
          <c:order val="0"/>
          <c:tx>
            <c:strRef>
              <c:f>WPF_bazowy!$D$11</c:f>
              <c:strCache>
                <c:ptCount val="1"/>
                <c:pt idx="0">
                  <c:v>dochody bieżące</c:v>
                </c:pt>
              </c:strCache>
            </c:strRef>
          </c:tx>
          <c:invertIfNegative val="0"/>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WPF_bazowy!$N$11:$W$11</c:f>
              <c:numCache>
                <c:formatCode>#\ ##0.00_ ;[Red]\-#\ ##0.00\ </c:formatCode>
                <c:ptCount val="7"/>
                <c:pt idx="0">
                  <c:v>88765252.810000002</c:v>
                </c:pt>
                <c:pt idx="1">
                  <c:v>95251536</c:v>
                </c:pt>
                <c:pt idx="2">
                  <c:v>98170111</c:v>
                </c:pt>
                <c:pt idx="3">
                  <c:v>100699107</c:v>
                </c:pt>
                <c:pt idx="4">
                  <c:v>103309610</c:v>
                </c:pt>
                <c:pt idx="5">
                  <c:v>105924224</c:v>
                </c:pt>
                <c:pt idx="6">
                  <c:v>108572332</c:v>
                </c:pt>
              </c:numCache>
              <c:extLst/>
            </c:numRef>
          </c:val>
          <c:extLst>
            <c:ext xmlns:c16="http://schemas.microsoft.com/office/drawing/2014/chart" uri="{C3380CC4-5D6E-409C-BE32-E72D297353CC}">
              <c16:uniqueId val="{00000000-3EE2-4228-BA85-3D75CDFB1B1A}"/>
            </c:ext>
          </c:extLst>
        </c:ser>
        <c:ser>
          <c:idx val="1"/>
          <c:order val="1"/>
          <c:tx>
            <c:strRef>
              <c:f>WPF_bazowy!$D$18</c:f>
              <c:strCache>
                <c:ptCount val="1"/>
                <c:pt idx="0">
                  <c:v>dochody majątkowe</c:v>
                </c:pt>
              </c:strCache>
            </c:strRef>
          </c:tx>
          <c:invertIfNegative val="0"/>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WPF_bazowy!$N$18:$W$18</c:f>
              <c:numCache>
                <c:formatCode>#\ ##0.00_ ;[Red]\-#\ ##0.00\ </c:formatCode>
                <c:ptCount val="7"/>
                <c:pt idx="0">
                  <c:v>29339388.34</c:v>
                </c:pt>
                <c:pt idx="1">
                  <c:v>10872400</c:v>
                </c:pt>
                <c:pt idx="2">
                  <c:v>19341430</c:v>
                </c:pt>
                <c:pt idx="3">
                  <c:v>1645817</c:v>
                </c:pt>
                <c:pt idx="4">
                  <c:v>1687167</c:v>
                </c:pt>
                <c:pt idx="5">
                  <c:v>1831817</c:v>
                </c:pt>
                <c:pt idx="6">
                  <c:v>1645817</c:v>
                </c:pt>
              </c:numCache>
              <c:extLst/>
            </c:numRef>
          </c:val>
          <c:extLst>
            <c:ext xmlns:c16="http://schemas.microsoft.com/office/drawing/2014/chart" uri="{C3380CC4-5D6E-409C-BE32-E72D297353CC}">
              <c16:uniqueId val="{00000001-3EE2-4228-BA85-3D75CDFB1B1A}"/>
            </c:ext>
          </c:extLst>
        </c:ser>
        <c:dLbls>
          <c:showLegendKey val="0"/>
          <c:showVal val="0"/>
          <c:showCatName val="0"/>
          <c:showSerName val="0"/>
          <c:showPercent val="0"/>
          <c:showBubbleSize val="0"/>
        </c:dLbls>
        <c:gapWidth val="150"/>
        <c:overlap val="100"/>
        <c:axId val="385900400"/>
        <c:axId val="1"/>
      </c:barChart>
      <c:catAx>
        <c:axId val="385900400"/>
        <c:scaling>
          <c:orientation val="minMax"/>
        </c:scaling>
        <c:delete val="0"/>
        <c:axPos val="b"/>
        <c:numFmt formatCode="0" sourceLinked="1"/>
        <c:majorTickMark val="out"/>
        <c:minorTickMark val="none"/>
        <c:tickLblPos val="nextTo"/>
        <c:txPr>
          <a:bodyPr rot="0" vert="horz"/>
          <a:lstStyle/>
          <a:p>
            <a:pPr>
              <a:defRPr sz="800" b="0" i="0" u="none" strike="noStrike" baseline="0">
                <a:solidFill>
                  <a:srgbClr val="000000"/>
                </a:solidFill>
                <a:latin typeface="Arial Narrow"/>
                <a:ea typeface="Arial Narrow"/>
                <a:cs typeface="Arial Narrow"/>
              </a:defRPr>
            </a:pPr>
            <a:endParaRPr lang="pl-PL"/>
          </a:p>
        </c:txPr>
        <c:crossAx val="1"/>
        <c:crosses val="autoZero"/>
        <c:auto val="1"/>
        <c:lblAlgn val="ctr"/>
        <c:lblOffset val="100"/>
        <c:noMultiLvlLbl val="0"/>
      </c:catAx>
      <c:valAx>
        <c:axId val="1"/>
        <c:scaling>
          <c:orientation val="minMax"/>
        </c:scaling>
        <c:delete val="0"/>
        <c:axPos val="l"/>
        <c:majorGridlines/>
        <c:numFmt formatCode="#,##0_ ;[Red]\-#,##0\ " sourceLinked="0"/>
        <c:majorTickMark val="out"/>
        <c:minorTickMark val="none"/>
        <c:tickLblPos val="nextTo"/>
        <c:txPr>
          <a:bodyPr rot="0" vert="horz"/>
          <a:lstStyle/>
          <a:p>
            <a:pPr>
              <a:defRPr sz="800" b="0" i="0" u="none" strike="noStrike" baseline="0">
                <a:solidFill>
                  <a:srgbClr val="000000"/>
                </a:solidFill>
                <a:latin typeface="Arial Narrow"/>
                <a:ea typeface="Arial Narrow"/>
                <a:cs typeface="Arial Narrow"/>
              </a:defRPr>
            </a:pPr>
            <a:endParaRPr lang="pl-PL"/>
          </a:p>
        </c:txPr>
        <c:crossAx val="385900400"/>
        <c:crosses val="autoZero"/>
        <c:crossBetween val="between"/>
        <c:dispUnits>
          <c:builtInUnit val="thousands"/>
          <c:dispUnitsLbl>
            <c:txPr>
              <a:bodyPr rot="-5400000" vert="horz"/>
              <a:lstStyle/>
              <a:p>
                <a:pPr algn="ctr">
                  <a:defRPr sz="800" b="0" i="0" u="none" strike="noStrike" baseline="0">
                    <a:solidFill>
                      <a:srgbClr val="000000"/>
                    </a:solidFill>
                    <a:latin typeface="Arial Narrow"/>
                    <a:ea typeface="Arial Narrow"/>
                    <a:cs typeface="Arial Narrow"/>
                  </a:defRPr>
                </a:pPr>
                <a:endParaRPr lang="pl-PL"/>
              </a:p>
            </c:txPr>
          </c:dispUnitsLbl>
        </c:dispUnits>
      </c:valAx>
    </c:plotArea>
    <c:legend>
      <c:legendPos val="b"/>
      <c:layout>
        <c:manualLayout>
          <c:xMode val="edge"/>
          <c:yMode val="edge"/>
          <c:x val="0.25512512076055638"/>
          <c:y val="0.90529410139522026"/>
          <c:w val="0.51777595390152775"/>
          <c:h val="7.0178017221531497E-2"/>
        </c:manualLayout>
      </c:layout>
      <c:overlay val="0"/>
      <c:txPr>
        <a:bodyPr/>
        <a:lstStyle/>
        <a:p>
          <a:pPr>
            <a:defRPr sz="800" b="0" i="0" u="none" strike="noStrike" baseline="0">
              <a:solidFill>
                <a:srgbClr val="000000"/>
              </a:solidFill>
              <a:latin typeface="Arial Narrow"/>
              <a:ea typeface="Arial Narrow"/>
              <a:cs typeface="Arial Narrow"/>
            </a:defRPr>
          </a:pPr>
          <a:endParaRPr lang="pl-PL"/>
        </a:p>
      </c:txPr>
    </c:legend>
    <c:plotVisOnly val="1"/>
    <c:dispBlanksAs val="gap"/>
    <c:showDLblsOverMax val="0"/>
  </c:chart>
  <c:txPr>
    <a:bodyPr/>
    <a:lstStyle/>
    <a:p>
      <a:pPr>
        <a:defRPr sz="800" b="0" i="0" u="none" strike="noStrike" baseline="0">
          <a:solidFill>
            <a:srgbClr val="000000"/>
          </a:solidFill>
          <a:latin typeface="Arial Narrow"/>
          <a:ea typeface="Arial Narrow"/>
          <a:cs typeface="Arial Narrow"/>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tx>
            <c:strRef>
              <c:f>WPF_bazowy!$D$22</c:f>
              <c:strCache>
                <c:ptCount val="1"/>
                <c:pt idx="0">
                  <c:v>wydatki bieżące</c:v>
                </c:pt>
              </c:strCache>
            </c:strRef>
          </c:tx>
          <c:invertIfNegative val="0"/>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WPF_bazowy!$N$22:$W$22</c:f>
              <c:numCache>
                <c:formatCode>#\ ##0.00_ ;[Red]\-#\ ##0.00\ </c:formatCode>
                <c:ptCount val="7"/>
                <c:pt idx="0">
                  <c:v>91982861</c:v>
                </c:pt>
                <c:pt idx="1">
                  <c:v>91729050.469999999</c:v>
                </c:pt>
                <c:pt idx="2">
                  <c:v>93786388.25</c:v>
                </c:pt>
                <c:pt idx="3">
                  <c:v>96027485</c:v>
                </c:pt>
                <c:pt idx="4">
                  <c:v>98273732</c:v>
                </c:pt>
                <c:pt idx="5">
                  <c:v>100704640</c:v>
                </c:pt>
                <c:pt idx="6">
                  <c:v>103183906</c:v>
                </c:pt>
              </c:numCache>
              <c:extLst/>
            </c:numRef>
          </c:val>
          <c:extLst>
            <c:ext xmlns:c16="http://schemas.microsoft.com/office/drawing/2014/chart" uri="{C3380CC4-5D6E-409C-BE32-E72D297353CC}">
              <c16:uniqueId val="{00000000-1227-4B08-BEDE-51CB9A81F783}"/>
            </c:ext>
          </c:extLst>
        </c:ser>
        <c:ser>
          <c:idx val="1"/>
          <c:order val="1"/>
          <c:tx>
            <c:strRef>
              <c:f>WPF_bazowy!$D$30</c:f>
              <c:strCache>
                <c:ptCount val="1"/>
                <c:pt idx="0">
                  <c:v>wydatki majątkowe</c:v>
                </c:pt>
              </c:strCache>
            </c:strRef>
          </c:tx>
          <c:invertIfNegative val="0"/>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WPF_bazowy!$N$30:$W$30</c:f>
              <c:numCache>
                <c:formatCode>#\ ##0.00_ ;[Red]\-#\ ##0.00\ </c:formatCode>
                <c:ptCount val="7"/>
                <c:pt idx="0">
                  <c:v>39533625.710000001</c:v>
                </c:pt>
                <c:pt idx="1">
                  <c:v>17683284.949999999</c:v>
                </c:pt>
                <c:pt idx="2">
                  <c:v>23625152.75</c:v>
                </c:pt>
                <c:pt idx="3">
                  <c:v>5867439</c:v>
                </c:pt>
                <c:pt idx="4">
                  <c:v>6273045</c:v>
                </c:pt>
                <c:pt idx="5">
                  <c:v>6351401</c:v>
                </c:pt>
                <c:pt idx="6">
                  <c:v>6134243</c:v>
                </c:pt>
              </c:numCache>
              <c:extLst/>
            </c:numRef>
          </c:val>
          <c:extLst>
            <c:ext xmlns:c16="http://schemas.microsoft.com/office/drawing/2014/chart" uri="{C3380CC4-5D6E-409C-BE32-E72D297353CC}">
              <c16:uniqueId val="{00000001-1227-4B08-BEDE-51CB9A81F783}"/>
            </c:ext>
          </c:extLst>
        </c:ser>
        <c:dLbls>
          <c:showLegendKey val="0"/>
          <c:showVal val="0"/>
          <c:showCatName val="0"/>
          <c:showSerName val="0"/>
          <c:showPercent val="0"/>
          <c:showBubbleSize val="0"/>
        </c:dLbls>
        <c:gapWidth val="150"/>
        <c:overlap val="100"/>
        <c:axId val="387879952"/>
        <c:axId val="1"/>
      </c:barChart>
      <c:catAx>
        <c:axId val="387879952"/>
        <c:scaling>
          <c:orientation val="minMax"/>
        </c:scaling>
        <c:delete val="0"/>
        <c:axPos val="b"/>
        <c:numFmt formatCode="0" sourceLinked="1"/>
        <c:majorTickMark val="out"/>
        <c:minorTickMark val="none"/>
        <c:tickLblPos val="nextTo"/>
        <c:txPr>
          <a:bodyPr rot="0" vert="horz"/>
          <a:lstStyle/>
          <a:p>
            <a:pPr>
              <a:defRPr sz="800" b="0" i="0" u="none" strike="noStrike" baseline="0">
                <a:solidFill>
                  <a:srgbClr val="000000"/>
                </a:solidFill>
                <a:latin typeface="Arial Narrow"/>
                <a:ea typeface="Arial Narrow"/>
                <a:cs typeface="Arial Narrow"/>
              </a:defRPr>
            </a:pPr>
            <a:endParaRPr lang="pl-PL"/>
          </a:p>
        </c:txPr>
        <c:crossAx val="1"/>
        <c:crosses val="autoZero"/>
        <c:auto val="1"/>
        <c:lblAlgn val="ctr"/>
        <c:lblOffset val="100"/>
        <c:noMultiLvlLbl val="0"/>
      </c:catAx>
      <c:valAx>
        <c:axId val="1"/>
        <c:scaling>
          <c:orientation val="minMax"/>
        </c:scaling>
        <c:delete val="0"/>
        <c:axPos val="l"/>
        <c:majorGridlines/>
        <c:numFmt formatCode="#,##0_ ;[Red]\-#,##0\ " sourceLinked="0"/>
        <c:majorTickMark val="out"/>
        <c:minorTickMark val="none"/>
        <c:tickLblPos val="nextTo"/>
        <c:txPr>
          <a:bodyPr rot="0" vert="horz"/>
          <a:lstStyle/>
          <a:p>
            <a:pPr>
              <a:defRPr sz="800" b="0" i="0" u="none" strike="noStrike" baseline="0">
                <a:solidFill>
                  <a:srgbClr val="000000"/>
                </a:solidFill>
                <a:latin typeface="Arial Narrow"/>
                <a:ea typeface="Arial Narrow"/>
                <a:cs typeface="Arial Narrow"/>
              </a:defRPr>
            </a:pPr>
            <a:endParaRPr lang="pl-PL"/>
          </a:p>
        </c:txPr>
        <c:crossAx val="387879952"/>
        <c:crosses val="autoZero"/>
        <c:crossBetween val="between"/>
        <c:dispUnits>
          <c:builtInUnit val="thousands"/>
          <c:dispUnitsLbl>
            <c:txPr>
              <a:bodyPr rot="-5400000" vert="horz"/>
              <a:lstStyle/>
              <a:p>
                <a:pPr algn="ctr">
                  <a:defRPr sz="800" b="0" i="0" u="none" strike="noStrike" baseline="0">
                    <a:solidFill>
                      <a:srgbClr val="000000"/>
                    </a:solidFill>
                    <a:latin typeface="Arial Narrow"/>
                    <a:ea typeface="Arial Narrow"/>
                    <a:cs typeface="Arial Narrow"/>
                  </a:defRPr>
                </a:pPr>
                <a:endParaRPr lang="pl-PL"/>
              </a:p>
            </c:txPr>
          </c:dispUnitsLbl>
        </c:dispUnits>
      </c:valAx>
    </c:plotArea>
    <c:legend>
      <c:legendPos val="b"/>
      <c:layout>
        <c:manualLayout>
          <c:xMode val="edge"/>
          <c:yMode val="edge"/>
          <c:x val="0.30278148067312483"/>
          <c:y val="0.90529410139522026"/>
          <c:w val="0.40086563806389874"/>
          <c:h val="7.0178017221531497E-2"/>
        </c:manualLayout>
      </c:layout>
      <c:overlay val="0"/>
      <c:txPr>
        <a:bodyPr/>
        <a:lstStyle/>
        <a:p>
          <a:pPr>
            <a:defRPr sz="735" b="0" i="0" u="none" strike="noStrike" baseline="0">
              <a:solidFill>
                <a:srgbClr val="000000"/>
              </a:solidFill>
              <a:latin typeface="Arial Narrow"/>
              <a:ea typeface="Arial Narrow"/>
              <a:cs typeface="Arial Narrow"/>
            </a:defRPr>
          </a:pPr>
          <a:endParaRPr lang="pl-PL"/>
        </a:p>
      </c:txPr>
    </c:legend>
    <c:plotVisOnly val="1"/>
    <c:dispBlanksAs val="gap"/>
    <c:showDLblsOverMax val="0"/>
  </c:chart>
  <c:txPr>
    <a:bodyPr/>
    <a:lstStyle/>
    <a:p>
      <a:pPr>
        <a:defRPr sz="800" b="0" i="0" u="none" strike="noStrike" baseline="0">
          <a:solidFill>
            <a:srgbClr val="000000"/>
          </a:solidFill>
          <a:latin typeface="Arial Narrow"/>
          <a:ea typeface="Arial Narrow"/>
          <a:cs typeface="Arial Narrow"/>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34272075133936"/>
          <c:y val="0.16679797378268893"/>
          <c:w val="0.87549473119813892"/>
          <c:h val="0.78579618724130074"/>
        </c:manualLayout>
      </c:layout>
      <c:barChart>
        <c:barDir val="col"/>
        <c:grouping val="stacked"/>
        <c:varyColors val="0"/>
        <c:ser>
          <c:idx val="1"/>
          <c:order val="1"/>
          <c:tx>
            <c:strRef>
              <c:f>WPF_Analiza!$D$47</c:f>
              <c:strCache>
                <c:ptCount val="1"/>
                <c:pt idx="0">
                  <c:v>spłata rat kapitałowych (kredyty, pożyczki, obligacje)</c:v>
                </c:pt>
              </c:strCache>
            </c:strRef>
          </c:tx>
          <c:invertIfNegative val="0"/>
          <c:cat>
            <c:numRef>
              <c:f>WPF_Analiza!$N$9:$W$9</c:f>
              <c:numCache>
                <c:formatCode>0</c:formatCode>
                <c:ptCount val="7"/>
                <c:pt idx="0">
                  <c:v>2024</c:v>
                </c:pt>
                <c:pt idx="1">
                  <c:v>2025</c:v>
                </c:pt>
                <c:pt idx="2">
                  <c:v>2026</c:v>
                </c:pt>
                <c:pt idx="3">
                  <c:v>2027</c:v>
                </c:pt>
                <c:pt idx="4">
                  <c:v>2028</c:v>
                </c:pt>
                <c:pt idx="5">
                  <c:v>2029</c:v>
                </c:pt>
                <c:pt idx="6">
                  <c:v>2030</c:v>
                </c:pt>
              </c:numCache>
              <c:extLst/>
            </c:numRef>
          </c:cat>
          <c:val>
            <c:numRef>
              <c:f>WPF_Analiza!$N$47:$W$47</c:f>
              <c:numCache>
                <c:formatCode>#\ ##0.00_ ;[Red]\-#\ ##0.00\ </c:formatCode>
                <c:ptCount val="7"/>
                <c:pt idx="0">
                  <c:v>1570250</c:v>
                </c:pt>
                <c:pt idx="1">
                  <c:v>1070250</c:v>
                </c:pt>
                <c:pt idx="2">
                  <c:v>100000</c:v>
                </c:pt>
                <c:pt idx="3">
                  <c:v>450000</c:v>
                </c:pt>
                <c:pt idx="4">
                  <c:v>450000</c:v>
                </c:pt>
                <c:pt idx="5">
                  <c:v>700000</c:v>
                </c:pt>
                <c:pt idx="6">
                  <c:v>900000</c:v>
                </c:pt>
              </c:numCache>
              <c:extLst/>
            </c:numRef>
          </c:val>
          <c:extLst>
            <c:ext xmlns:c16="http://schemas.microsoft.com/office/drawing/2014/chart" uri="{C3380CC4-5D6E-409C-BE32-E72D297353CC}">
              <c16:uniqueId val="{00000000-1877-4C96-AC57-3EF3C7CA0AFC}"/>
            </c:ext>
          </c:extLst>
        </c:ser>
        <c:ser>
          <c:idx val="2"/>
          <c:order val="2"/>
          <c:tx>
            <c:strRef>
              <c:f>WPF_Analiza!$D$30</c:f>
              <c:strCache>
                <c:ptCount val="1"/>
                <c:pt idx="0">
                  <c:v>wydatki majątkowe</c:v>
                </c:pt>
              </c:strCache>
            </c:strRef>
          </c:tx>
          <c:invertIfNegative val="0"/>
          <c:cat>
            <c:numRef>
              <c:f>WPF_Analiza!$N$9:$W$9</c:f>
              <c:numCache>
                <c:formatCode>0</c:formatCode>
                <c:ptCount val="7"/>
                <c:pt idx="0">
                  <c:v>2024</c:v>
                </c:pt>
                <c:pt idx="1">
                  <c:v>2025</c:v>
                </c:pt>
                <c:pt idx="2">
                  <c:v>2026</c:v>
                </c:pt>
                <c:pt idx="3">
                  <c:v>2027</c:v>
                </c:pt>
                <c:pt idx="4">
                  <c:v>2028</c:v>
                </c:pt>
                <c:pt idx="5">
                  <c:v>2029</c:v>
                </c:pt>
                <c:pt idx="6">
                  <c:v>2030</c:v>
                </c:pt>
              </c:numCache>
              <c:extLst/>
            </c:numRef>
          </c:cat>
          <c:val>
            <c:numRef>
              <c:f>WPF_Analiza!$N$30:$W$30</c:f>
              <c:numCache>
                <c:formatCode>#\ ##0.00_ ;[Red]\-#\ ##0.00\ </c:formatCode>
                <c:ptCount val="7"/>
                <c:pt idx="0">
                  <c:v>39533625.710000001</c:v>
                </c:pt>
                <c:pt idx="1">
                  <c:v>17683284.949999999</c:v>
                </c:pt>
                <c:pt idx="2">
                  <c:v>23625152.75</c:v>
                </c:pt>
                <c:pt idx="3">
                  <c:v>5867439</c:v>
                </c:pt>
                <c:pt idx="4">
                  <c:v>6273045</c:v>
                </c:pt>
                <c:pt idx="5">
                  <c:v>6351401</c:v>
                </c:pt>
                <c:pt idx="6">
                  <c:v>6134243</c:v>
                </c:pt>
              </c:numCache>
              <c:extLst/>
            </c:numRef>
          </c:val>
          <c:extLst>
            <c:ext xmlns:c16="http://schemas.microsoft.com/office/drawing/2014/chart" uri="{C3380CC4-5D6E-409C-BE32-E72D297353CC}">
              <c16:uniqueId val="{00000001-1877-4C96-AC57-3EF3C7CA0AFC}"/>
            </c:ext>
          </c:extLst>
        </c:ser>
        <c:dLbls>
          <c:showLegendKey val="0"/>
          <c:showVal val="0"/>
          <c:showCatName val="0"/>
          <c:showSerName val="0"/>
          <c:showPercent val="0"/>
          <c:showBubbleSize val="0"/>
        </c:dLbls>
        <c:gapWidth val="150"/>
        <c:overlap val="100"/>
        <c:axId val="388442144"/>
        <c:axId val="1"/>
      </c:barChart>
      <c:lineChart>
        <c:grouping val="standard"/>
        <c:varyColors val="0"/>
        <c:ser>
          <c:idx val="0"/>
          <c:order val="0"/>
          <c:tx>
            <c:strRef>
              <c:f>WPF_Analiza!$D$60</c:f>
              <c:strCache>
                <c:ptCount val="1"/>
                <c:pt idx="0">
                  <c:v>nadwyżka operacyjna (Db-Wb)</c:v>
                </c:pt>
              </c:strCache>
            </c:strRef>
          </c:tx>
          <c:marker>
            <c:symbol val="none"/>
          </c:marker>
          <c:cat>
            <c:numRef>
              <c:f>WPF_Analiza!$N$9:$W$9</c:f>
              <c:numCache>
                <c:formatCode>0</c:formatCode>
                <c:ptCount val="7"/>
                <c:pt idx="0">
                  <c:v>2024</c:v>
                </c:pt>
                <c:pt idx="1">
                  <c:v>2025</c:v>
                </c:pt>
                <c:pt idx="2">
                  <c:v>2026</c:v>
                </c:pt>
                <c:pt idx="3">
                  <c:v>2027</c:v>
                </c:pt>
                <c:pt idx="4">
                  <c:v>2028</c:v>
                </c:pt>
                <c:pt idx="5">
                  <c:v>2029</c:v>
                </c:pt>
                <c:pt idx="6">
                  <c:v>2030</c:v>
                </c:pt>
              </c:numCache>
              <c:extLst/>
            </c:numRef>
          </c:cat>
          <c:val>
            <c:numRef>
              <c:f>WPF_Analiza!$N$60:$W$60</c:f>
              <c:numCache>
                <c:formatCode>#\ ##0.00_ ;[Red]\-#\ ##0.00\ </c:formatCode>
                <c:ptCount val="7"/>
                <c:pt idx="0">
                  <c:v>-3217608.19</c:v>
                </c:pt>
                <c:pt idx="1">
                  <c:v>3522485.53</c:v>
                </c:pt>
                <c:pt idx="2">
                  <c:v>4383722.75</c:v>
                </c:pt>
                <c:pt idx="3">
                  <c:v>4671622</c:v>
                </c:pt>
                <c:pt idx="4">
                  <c:v>5035878</c:v>
                </c:pt>
                <c:pt idx="5">
                  <c:v>5219584</c:v>
                </c:pt>
                <c:pt idx="6">
                  <c:v>5388426</c:v>
                </c:pt>
              </c:numCache>
              <c:extLst/>
            </c:numRef>
          </c:val>
          <c:smooth val="0"/>
          <c:extLst>
            <c:ext xmlns:c16="http://schemas.microsoft.com/office/drawing/2014/chart" uri="{C3380CC4-5D6E-409C-BE32-E72D297353CC}">
              <c16:uniqueId val="{00000002-1877-4C96-AC57-3EF3C7CA0AFC}"/>
            </c:ext>
          </c:extLst>
        </c:ser>
        <c:dLbls>
          <c:showLegendKey val="0"/>
          <c:showVal val="0"/>
          <c:showCatName val="0"/>
          <c:showSerName val="0"/>
          <c:showPercent val="0"/>
          <c:showBubbleSize val="0"/>
        </c:dLbls>
        <c:marker val="1"/>
        <c:smooth val="0"/>
        <c:axId val="388442144"/>
        <c:axId val="1"/>
      </c:lineChart>
      <c:catAx>
        <c:axId val="388442144"/>
        <c:scaling>
          <c:orientation val="minMax"/>
        </c:scaling>
        <c:delete val="0"/>
        <c:axPos val="b"/>
        <c:numFmt formatCode="0" sourceLinked="1"/>
        <c:majorTickMark val="out"/>
        <c:minorTickMark val="none"/>
        <c:tickLblPos val="nextTo"/>
        <c:txPr>
          <a:bodyPr rot="0" vert="horz"/>
          <a:lstStyle/>
          <a:p>
            <a:pPr>
              <a:defRPr sz="660" b="0" i="0" u="none" strike="noStrike" baseline="0">
                <a:solidFill>
                  <a:srgbClr val="000000"/>
                </a:solidFill>
                <a:latin typeface="Arial Narrow"/>
                <a:ea typeface="Arial Narrow"/>
                <a:cs typeface="Arial Narrow"/>
              </a:defRPr>
            </a:pPr>
            <a:endParaRPr lang="pl-PL"/>
          </a:p>
        </c:txPr>
        <c:crossAx val="1"/>
        <c:crosses val="autoZero"/>
        <c:auto val="1"/>
        <c:lblAlgn val="ctr"/>
        <c:lblOffset val="100"/>
        <c:noMultiLvlLbl val="0"/>
      </c:catAx>
      <c:valAx>
        <c:axId val="1"/>
        <c:scaling>
          <c:orientation val="minMax"/>
        </c:scaling>
        <c:delete val="0"/>
        <c:axPos val="l"/>
        <c:majorGridlines/>
        <c:numFmt formatCode="#,##0_ ;[Red]\-#,##0\ " sourceLinked="0"/>
        <c:majorTickMark val="out"/>
        <c:minorTickMark val="none"/>
        <c:tickLblPos val="nextTo"/>
        <c:txPr>
          <a:bodyPr rot="0" vert="horz"/>
          <a:lstStyle/>
          <a:p>
            <a:pPr>
              <a:defRPr sz="650" b="0" i="0" u="none" strike="noStrike" baseline="0">
                <a:solidFill>
                  <a:srgbClr val="000000"/>
                </a:solidFill>
                <a:latin typeface="Arial Narrow"/>
                <a:ea typeface="Arial Narrow"/>
                <a:cs typeface="Arial Narrow"/>
              </a:defRPr>
            </a:pPr>
            <a:endParaRPr lang="pl-PL"/>
          </a:p>
        </c:txPr>
        <c:crossAx val="388442144"/>
        <c:crosses val="autoZero"/>
        <c:crossBetween val="between"/>
        <c:dispUnits>
          <c:builtInUnit val="thousands"/>
          <c:dispUnitsLbl>
            <c:txPr>
              <a:bodyPr rot="-5400000" vert="horz"/>
              <a:lstStyle/>
              <a:p>
                <a:pPr algn="ctr">
                  <a:defRPr sz="600" b="0" i="0" u="none" strike="noStrike" baseline="0">
                    <a:solidFill>
                      <a:srgbClr val="000000"/>
                    </a:solidFill>
                    <a:latin typeface="Arial Narrow"/>
                    <a:ea typeface="Arial Narrow"/>
                    <a:cs typeface="Arial Narrow"/>
                  </a:defRPr>
                </a:pPr>
                <a:endParaRPr lang="pl-PL"/>
              </a:p>
            </c:txPr>
          </c:dispUnitsLbl>
        </c:dispUnits>
      </c:valAx>
    </c:plotArea>
    <c:legend>
      <c:legendPos val="b"/>
      <c:legendEntry>
        <c:idx val="1"/>
        <c:txPr>
          <a:bodyPr/>
          <a:lstStyle/>
          <a:p>
            <a:pPr>
              <a:defRPr sz="720" b="0" i="0" u="none" strike="noStrike" baseline="0">
                <a:solidFill>
                  <a:srgbClr val="000000"/>
                </a:solidFill>
                <a:latin typeface="Arial Narrow"/>
                <a:ea typeface="Arial Narrow"/>
                <a:cs typeface="Arial Narrow"/>
              </a:defRPr>
            </a:pPr>
            <a:endParaRPr lang="pl-PL"/>
          </a:p>
        </c:txPr>
      </c:legendEntry>
      <c:layout>
        <c:manualLayout>
          <c:xMode val="edge"/>
          <c:yMode val="edge"/>
          <c:x val="2.9015294010818662E-2"/>
          <c:y val="6.8466735775675136E-2"/>
          <c:w val="0.93295749069257616"/>
          <c:h val="7.3594151516400766E-2"/>
        </c:manualLayout>
      </c:layout>
      <c:overlay val="0"/>
      <c:txPr>
        <a:bodyPr/>
        <a:lstStyle/>
        <a:p>
          <a:pPr>
            <a:defRPr sz="720" b="0" i="0" u="none" strike="noStrike" baseline="0">
              <a:solidFill>
                <a:srgbClr val="000000"/>
              </a:solidFill>
              <a:latin typeface="Arial Narrow"/>
              <a:ea typeface="Arial Narrow"/>
              <a:cs typeface="Arial Narrow"/>
            </a:defRPr>
          </a:pPr>
          <a:endParaRPr lang="pl-PL"/>
        </a:p>
      </c:txPr>
    </c:legend>
    <c:plotVisOnly val="1"/>
    <c:dispBlanksAs val="gap"/>
    <c:showDLblsOverMax val="0"/>
  </c:chart>
  <c:txPr>
    <a:bodyPr/>
    <a:lstStyle/>
    <a:p>
      <a:pPr>
        <a:defRPr sz="600" b="0" i="0" u="none" strike="noStrike" baseline="0">
          <a:solidFill>
            <a:srgbClr val="000000"/>
          </a:solidFill>
          <a:latin typeface="Arial Narrow"/>
          <a:ea typeface="Arial Narrow"/>
          <a:cs typeface="Arial Narrow"/>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5674048206660738E-2"/>
          <c:y val="0.19040242504898156"/>
          <c:w val="0.87350671556934867"/>
          <c:h val="0.71379985952460168"/>
        </c:manualLayout>
      </c:layout>
      <c:lineChart>
        <c:grouping val="standard"/>
        <c:varyColors val="0"/>
        <c:ser>
          <c:idx val="0"/>
          <c:order val="0"/>
          <c:tx>
            <c:strRef>
              <c:f>WPF_bazowy!$D$70</c:f>
              <c:strCache>
                <c:ptCount val="1"/>
                <c:pt idx="0">
                  <c:v>średnia z art. 243 (plan III kw N-1)</c:v>
                </c:pt>
              </c:strCache>
            </c:strRef>
          </c:tx>
          <c:marker>
            <c:symbol val="none"/>
          </c:marker>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WPF_bazowy!$N$70:$W$70</c:f>
              <c:numCache>
                <c:formatCode>0.00%</c:formatCode>
                <c:ptCount val="7"/>
                <c:pt idx="0">
                  <c:v>0.15939999999999999</c:v>
                </c:pt>
                <c:pt idx="1">
                  <c:v>0.1298</c:v>
                </c:pt>
                <c:pt idx="2">
                  <c:v>9.2399999999999996E-2</c:v>
                </c:pt>
                <c:pt idx="3">
                  <c:v>7.8299999999999995E-2</c:v>
                </c:pt>
                <c:pt idx="4">
                  <c:v>6.3399999999999998E-2</c:v>
                </c:pt>
                <c:pt idx="5">
                  <c:v>4.36E-2</c:v>
                </c:pt>
                <c:pt idx="6">
                  <c:v>3.0300000000000001E-2</c:v>
                </c:pt>
              </c:numCache>
              <c:extLst/>
            </c:numRef>
          </c:val>
          <c:smooth val="0"/>
          <c:extLst>
            <c:ext xmlns:c16="http://schemas.microsoft.com/office/drawing/2014/chart" uri="{C3380CC4-5D6E-409C-BE32-E72D297353CC}">
              <c16:uniqueId val="{00000000-DD81-49F4-A9DE-DF4D4C55A123}"/>
            </c:ext>
          </c:extLst>
        </c:ser>
        <c:ser>
          <c:idx val="1"/>
          <c:order val="1"/>
          <c:tx>
            <c:strRef>
              <c:f>WPF_bazowy!$D$63</c:f>
              <c:strCache>
                <c:ptCount val="1"/>
                <c:pt idx="0">
                  <c:v>(R + O) / Db</c:v>
                </c:pt>
              </c:strCache>
            </c:strRef>
          </c:tx>
          <c:marker>
            <c:symbol val="none"/>
          </c:marker>
          <c:cat>
            <c:numRef>
              <c:f>WPF_bazowy!$N$9:$W$9</c:f>
              <c:numCache>
                <c:formatCode>0</c:formatCode>
                <c:ptCount val="7"/>
                <c:pt idx="0">
                  <c:v>2024</c:v>
                </c:pt>
                <c:pt idx="1">
                  <c:v>2025</c:v>
                </c:pt>
                <c:pt idx="2">
                  <c:v>2026</c:v>
                </c:pt>
                <c:pt idx="3">
                  <c:v>2027</c:v>
                </c:pt>
                <c:pt idx="4">
                  <c:v>2028</c:v>
                </c:pt>
                <c:pt idx="5">
                  <c:v>2029</c:v>
                </c:pt>
                <c:pt idx="6">
                  <c:v>2030</c:v>
                </c:pt>
              </c:numCache>
              <c:extLst/>
            </c:numRef>
          </c:cat>
          <c:val>
            <c:numRef>
              <c:f>WPF_bazowy!$N$63:$W$63</c:f>
              <c:numCache>
                <c:formatCode>0.00%</c:formatCode>
                <c:ptCount val="7"/>
                <c:pt idx="0">
                  <c:v>2.3599999999999999E-2</c:v>
                </c:pt>
                <c:pt idx="1">
                  <c:v>1.55E-2</c:v>
                </c:pt>
                <c:pt idx="2">
                  <c:v>4.3E-3</c:v>
                </c:pt>
                <c:pt idx="3">
                  <c:v>7.9000000000000008E-3</c:v>
                </c:pt>
                <c:pt idx="4">
                  <c:v>7.3000000000000001E-3</c:v>
                </c:pt>
                <c:pt idx="5">
                  <c:v>9.4999999999999998E-3</c:v>
                </c:pt>
                <c:pt idx="6">
                  <c:v>1.09E-2</c:v>
                </c:pt>
              </c:numCache>
              <c:extLst/>
            </c:numRef>
          </c:val>
          <c:smooth val="0"/>
          <c:extLst>
            <c:ext xmlns:c16="http://schemas.microsoft.com/office/drawing/2014/chart" uri="{C3380CC4-5D6E-409C-BE32-E72D297353CC}">
              <c16:uniqueId val="{00000001-DD81-49F4-A9DE-DF4D4C55A123}"/>
            </c:ext>
          </c:extLst>
        </c:ser>
        <c:dLbls>
          <c:showLegendKey val="0"/>
          <c:showVal val="0"/>
          <c:showCatName val="0"/>
          <c:showSerName val="0"/>
          <c:showPercent val="0"/>
          <c:showBubbleSize val="0"/>
        </c:dLbls>
        <c:smooth val="0"/>
        <c:axId val="387150976"/>
        <c:axId val="1"/>
      </c:lineChart>
      <c:catAx>
        <c:axId val="387150976"/>
        <c:scaling>
          <c:orientation val="minMax"/>
        </c:scaling>
        <c:delete val="0"/>
        <c:axPos val="b"/>
        <c:numFmt formatCode="0" sourceLinked="1"/>
        <c:majorTickMark val="none"/>
        <c:minorTickMark val="none"/>
        <c:tickLblPos val="nextTo"/>
        <c:txPr>
          <a:bodyPr rot="0" vert="horz"/>
          <a:lstStyle/>
          <a:p>
            <a:pPr>
              <a:defRPr sz="800" b="0" i="0" u="none" strike="noStrike" baseline="0">
                <a:solidFill>
                  <a:srgbClr val="000000"/>
                </a:solidFill>
                <a:latin typeface="Arial Narrow"/>
                <a:ea typeface="Arial Narrow"/>
                <a:cs typeface="Arial Narrow"/>
              </a:defRPr>
            </a:pPr>
            <a:endParaRPr lang="pl-PL"/>
          </a:p>
        </c:txPr>
        <c:crossAx val="1"/>
        <c:crosses val="autoZero"/>
        <c:auto val="1"/>
        <c:lblAlgn val="ctr"/>
        <c:lblOffset val="100"/>
        <c:noMultiLvlLbl val="0"/>
      </c:catAx>
      <c:valAx>
        <c:axId val="1"/>
        <c:scaling>
          <c:orientation val="minMax"/>
        </c:scaling>
        <c:delete val="0"/>
        <c:axPos val="l"/>
        <c:majorGridlines/>
        <c:numFmt formatCode="0%" sourceLinked="0"/>
        <c:majorTickMark val="none"/>
        <c:minorTickMark val="none"/>
        <c:tickLblPos val="nextTo"/>
        <c:spPr>
          <a:ln w="9525">
            <a:noFill/>
          </a:ln>
        </c:spPr>
        <c:txPr>
          <a:bodyPr rot="0" vert="horz"/>
          <a:lstStyle/>
          <a:p>
            <a:pPr>
              <a:defRPr sz="800" b="0" i="0" u="none" strike="noStrike" baseline="0">
                <a:solidFill>
                  <a:srgbClr val="000000"/>
                </a:solidFill>
                <a:latin typeface="Arial Narrow"/>
                <a:ea typeface="Arial Narrow"/>
                <a:cs typeface="Arial Narrow"/>
              </a:defRPr>
            </a:pPr>
            <a:endParaRPr lang="pl-PL"/>
          </a:p>
        </c:txPr>
        <c:crossAx val="387150976"/>
        <c:crosses val="autoZero"/>
        <c:crossBetween val="between"/>
      </c:valAx>
    </c:plotArea>
    <c:legend>
      <c:legendPos val="r"/>
      <c:layout>
        <c:manualLayout>
          <c:xMode val="edge"/>
          <c:yMode val="edge"/>
          <c:x val="0.13145588071849326"/>
          <c:y val="4.8451928124369048E-2"/>
          <c:w val="0.7015435122726924"/>
          <c:h val="0.10071879043288604"/>
        </c:manualLayout>
      </c:layout>
      <c:overlay val="0"/>
      <c:txPr>
        <a:bodyPr/>
        <a:lstStyle/>
        <a:p>
          <a:pPr>
            <a:defRPr sz="760" b="0" i="0" u="none" strike="noStrike" baseline="0">
              <a:solidFill>
                <a:srgbClr val="000000"/>
              </a:solidFill>
              <a:latin typeface="Arial Narrow"/>
              <a:ea typeface="Arial Narrow"/>
              <a:cs typeface="Arial Narrow"/>
            </a:defRPr>
          </a:pPr>
          <a:endParaRPr lang="pl-PL"/>
        </a:p>
      </c:txPr>
    </c:legend>
    <c:plotVisOnly val="1"/>
    <c:dispBlanksAs val="gap"/>
    <c:showDLblsOverMax val="0"/>
  </c:chart>
  <c:txPr>
    <a:bodyPr/>
    <a:lstStyle/>
    <a:p>
      <a:pPr>
        <a:defRPr sz="800" b="0" i="0" u="none" strike="noStrike" baseline="0">
          <a:solidFill>
            <a:srgbClr val="000000"/>
          </a:solidFill>
          <a:latin typeface="Arial Narrow"/>
          <a:ea typeface="Arial Narrow"/>
          <a:cs typeface="Arial Narrow"/>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CABBE1-1B73-4CBC-9892-0DB3AD3F67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3428</TotalTime>
  <Pages>8</Pages>
  <Words>1850</Words>
  <Characters>11104</Characters>
  <Application>Microsoft Office Word</Application>
  <DocSecurity>0</DocSecurity>
  <Lines>92</Lines>
  <Paragraphs>25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12929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ljaroszewska</dc:creator>
  <cp:lastModifiedBy>ljaroszewska@dzialdowo.um</cp:lastModifiedBy>
  <cp:revision>216</cp:revision>
  <cp:lastPrinted>2023-11-14T08:58:00Z</cp:lastPrinted>
  <dcterms:created xsi:type="dcterms:W3CDTF">2015-11-10T11:58:00Z</dcterms:created>
  <dcterms:modified xsi:type="dcterms:W3CDTF">2023-11-14T09:24:00Z</dcterms:modified>
</cp:coreProperties>
</file>