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A7E57" w:rsidRPr="00DB2B89" w:rsidRDefault="00AA7E57" w:rsidP="00396F6F">
      <w:pPr>
        <w:spacing w:after="0" w:line="360" w:lineRule="auto"/>
        <w:rPr>
          <w:rFonts w:ascii="Times New Roman" w:hAnsi="Times New Roman" w:cs="Times New Roman"/>
        </w:rPr>
      </w:pPr>
      <w:r w:rsidRPr="00DB2B89">
        <w:tab/>
      </w:r>
      <w:r w:rsidRPr="00DB2B89">
        <w:tab/>
      </w:r>
      <w:r w:rsidRPr="00DB2B89">
        <w:tab/>
      </w:r>
      <w:r w:rsidRPr="00DB2B89">
        <w:tab/>
      </w:r>
      <w:r w:rsidRPr="00DB2B89">
        <w:tab/>
      </w:r>
      <w:r w:rsidRPr="00DB2B89">
        <w:tab/>
      </w:r>
      <w:r w:rsidRPr="00DB2B89">
        <w:tab/>
      </w:r>
      <w:r w:rsidRPr="00DB2B89">
        <w:tab/>
      </w:r>
    </w:p>
    <w:p w:rsidR="00E031D0" w:rsidRDefault="00186875" w:rsidP="00396F6F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B2B89">
        <w:rPr>
          <w:rFonts w:ascii="Times New Roman" w:hAnsi="Times New Roman" w:cs="Times New Roman"/>
          <w:b/>
          <w:sz w:val="28"/>
          <w:szCs w:val="28"/>
        </w:rPr>
        <w:t>Objaśnienia</w:t>
      </w:r>
      <w:r w:rsidR="00AA7E57" w:rsidRPr="00DB2B89">
        <w:rPr>
          <w:rFonts w:ascii="Times New Roman" w:hAnsi="Times New Roman" w:cs="Times New Roman"/>
          <w:b/>
          <w:sz w:val="28"/>
          <w:szCs w:val="28"/>
        </w:rPr>
        <w:t xml:space="preserve"> do Wielolet</w:t>
      </w:r>
      <w:r w:rsidR="00485C33" w:rsidRPr="00DB2B89">
        <w:rPr>
          <w:rFonts w:ascii="Times New Roman" w:hAnsi="Times New Roman" w:cs="Times New Roman"/>
          <w:b/>
          <w:sz w:val="28"/>
          <w:szCs w:val="28"/>
        </w:rPr>
        <w:t>niej Prognozy Finansowej</w:t>
      </w:r>
    </w:p>
    <w:p w:rsidR="00AA7E57" w:rsidRPr="00DB2B89" w:rsidRDefault="00485C33" w:rsidP="00396F6F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B2B89">
        <w:rPr>
          <w:rFonts w:ascii="Times New Roman" w:hAnsi="Times New Roman" w:cs="Times New Roman"/>
          <w:b/>
          <w:sz w:val="28"/>
          <w:szCs w:val="28"/>
        </w:rPr>
        <w:t>Gminy</w:t>
      </w:r>
      <w:r w:rsidR="004C1632">
        <w:rPr>
          <w:rFonts w:ascii="Times New Roman" w:hAnsi="Times New Roman" w:cs="Times New Roman"/>
          <w:b/>
          <w:sz w:val="28"/>
          <w:szCs w:val="28"/>
        </w:rPr>
        <w:t>-</w:t>
      </w:r>
      <w:r w:rsidRPr="00DB2B89">
        <w:rPr>
          <w:rFonts w:ascii="Times New Roman" w:hAnsi="Times New Roman" w:cs="Times New Roman"/>
          <w:b/>
          <w:sz w:val="28"/>
          <w:szCs w:val="28"/>
        </w:rPr>
        <w:t>M</w:t>
      </w:r>
      <w:r w:rsidR="00AA7E57" w:rsidRPr="00DB2B89">
        <w:rPr>
          <w:rFonts w:ascii="Times New Roman" w:hAnsi="Times New Roman" w:cs="Times New Roman"/>
          <w:b/>
          <w:sz w:val="28"/>
          <w:szCs w:val="28"/>
        </w:rPr>
        <w:t>iasto Działdowo na lata 201</w:t>
      </w:r>
      <w:r w:rsidR="003B4157">
        <w:rPr>
          <w:rFonts w:ascii="Times New Roman" w:hAnsi="Times New Roman" w:cs="Times New Roman"/>
          <w:b/>
          <w:sz w:val="28"/>
          <w:szCs w:val="28"/>
        </w:rPr>
        <w:t>8</w:t>
      </w:r>
      <w:r w:rsidR="00AA7E57" w:rsidRPr="00DB2B89">
        <w:rPr>
          <w:rFonts w:ascii="Times New Roman" w:hAnsi="Times New Roman" w:cs="Times New Roman"/>
          <w:b/>
          <w:sz w:val="28"/>
          <w:szCs w:val="28"/>
        </w:rPr>
        <w:t>-202</w:t>
      </w:r>
      <w:r w:rsidR="005E0ED1" w:rsidRPr="00DB2B89">
        <w:rPr>
          <w:rFonts w:ascii="Times New Roman" w:hAnsi="Times New Roman" w:cs="Times New Roman"/>
          <w:b/>
          <w:sz w:val="28"/>
          <w:szCs w:val="28"/>
        </w:rPr>
        <w:t>5</w:t>
      </w:r>
    </w:p>
    <w:p w:rsidR="00AA7E57" w:rsidRPr="00DB2B89" w:rsidRDefault="00AA7E57" w:rsidP="00396F6F">
      <w:pPr>
        <w:spacing w:after="0" w:line="360" w:lineRule="auto"/>
        <w:jc w:val="both"/>
        <w:rPr>
          <w:rFonts w:ascii="Times New Roman" w:hAnsi="Times New Roman" w:cs="Times New Roman"/>
        </w:rPr>
      </w:pPr>
    </w:p>
    <w:p w:rsidR="00AA7E57" w:rsidRPr="00DB2B89" w:rsidRDefault="00AA7E57" w:rsidP="00396F6F">
      <w:pPr>
        <w:pStyle w:val="Akapitzlist"/>
        <w:numPr>
          <w:ilvl w:val="0"/>
          <w:numId w:val="1"/>
        </w:numPr>
        <w:spacing w:after="0" w:line="360" w:lineRule="auto"/>
        <w:ind w:left="284" w:hanging="284"/>
        <w:jc w:val="both"/>
        <w:rPr>
          <w:rFonts w:ascii="Times New Roman" w:hAnsi="Times New Roman" w:cs="Times New Roman"/>
          <w:b/>
          <w:sz w:val="24"/>
        </w:rPr>
      </w:pPr>
      <w:r w:rsidRPr="00DB2B89">
        <w:rPr>
          <w:rFonts w:ascii="Times New Roman" w:hAnsi="Times New Roman" w:cs="Times New Roman"/>
          <w:b/>
          <w:sz w:val="24"/>
        </w:rPr>
        <w:t>Założenia wstępne</w:t>
      </w:r>
    </w:p>
    <w:p w:rsidR="00AA7E57" w:rsidRPr="00DB2B89" w:rsidRDefault="006125D9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Wieloletnia Prognoza F</w:t>
      </w:r>
      <w:r w:rsidR="00AA7E57" w:rsidRPr="00DB2B89">
        <w:rPr>
          <w:rFonts w:ascii="Times New Roman" w:hAnsi="Times New Roman" w:cs="Times New Roman"/>
          <w:sz w:val="24"/>
          <w:szCs w:val="24"/>
        </w:rPr>
        <w:t>inansowa Gminy</w:t>
      </w:r>
      <w:r>
        <w:rPr>
          <w:rFonts w:ascii="Times New Roman" w:hAnsi="Times New Roman" w:cs="Times New Roman"/>
          <w:sz w:val="24"/>
          <w:szCs w:val="24"/>
        </w:rPr>
        <w:t>-</w:t>
      </w:r>
      <w:r w:rsidR="00AA7E57" w:rsidRPr="00DB2B89">
        <w:rPr>
          <w:rFonts w:ascii="Times New Roman" w:hAnsi="Times New Roman" w:cs="Times New Roman"/>
          <w:sz w:val="24"/>
          <w:szCs w:val="24"/>
        </w:rPr>
        <w:t>Miasto Działdowo została</w:t>
      </w:r>
      <w:r w:rsidR="005147BE" w:rsidRPr="00DB2B89">
        <w:rPr>
          <w:rFonts w:ascii="Times New Roman" w:hAnsi="Times New Roman" w:cs="Times New Roman"/>
          <w:sz w:val="24"/>
          <w:szCs w:val="24"/>
        </w:rPr>
        <w:t xml:space="preserve"> sporządzona</w:t>
      </w:r>
      <w:r w:rsidR="00AA7E57" w:rsidRPr="00DB2B89">
        <w:rPr>
          <w:rFonts w:ascii="Times New Roman" w:hAnsi="Times New Roman" w:cs="Times New Roman"/>
          <w:sz w:val="24"/>
          <w:szCs w:val="24"/>
        </w:rPr>
        <w:t xml:space="preserve"> na lata </w:t>
      </w:r>
      <w:r w:rsidR="005147BE" w:rsidRPr="00DB2B89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AA7E57" w:rsidRPr="00DB2B89">
        <w:rPr>
          <w:rFonts w:ascii="Times New Roman" w:hAnsi="Times New Roman" w:cs="Times New Roman"/>
          <w:sz w:val="24"/>
          <w:szCs w:val="24"/>
        </w:rPr>
        <w:t>201</w:t>
      </w:r>
      <w:r w:rsidR="003B4157">
        <w:rPr>
          <w:rFonts w:ascii="Times New Roman" w:hAnsi="Times New Roman" w:cs="Times New Roman"/>
          <w:sz w:val="24"/>
          <w:szCs w:val="24"/>
        </w:rPr>
        <w:t>8</w:t>
      </w:r>
      <w:r w:rsidR="00AA7E57" w:rsidRPr="00DB2B89">
        <w:rPr>
          <w:rFonts w:ascii="Times New Roman" w:hAnsi="Times New Roman" w:cs="Times New Roman"/>
          <w:sz w:val="24"/>
          <w:szCs w:val="24"/>
        </w:rPr>
        <w:t>-202</w:t>
      </w:r>
      <w:r w:rsidR="005E0ED1" w:rsidRPr="00DB2B89">
        <w:rPr>
          <w:rFonts w:ascii="Times New Roman" w:hAnsi="Times New Roman" w:cs="Times New Roman"/>
          <w:sz w:val="24"/>
          <w:szCs w:val="24"/>
        </w:rPr>
        <w:t>5</w:t>
      </w:r>
      <w:r w:rsidR="00AA7E57" w:rsidRPr="00DB2B89">
        <w:rPr>
          <w:rFonts w:ascii="Times New Roman" w:hAnsi="Times New Roman" w:cs="Times New Roman"/>
          <w:sz w:val="24"/>
          <w:szCs w:val="24"/>
        </w:rPr>
        <w:t>. Długość okresu objęt</w:t>
      </w:r>
      <w:r w:rsidR="00CA1C7E" w:rsidRPr="00DB2B89">
        <w:rPr>
          <w:rFonts w:ascii="Times New Roman" w:hAnsi="Times New Roman" w:cs="Times New Roman"/>
          <w:sz w:val="24"/>
          <w:szCs w:val="24"/>
        </w:rPr>
        <w:t>ego prognozą wynika z art. 227 u</w:t>
      </w:r>
      <w:r w:rsidR="00AA7E57" w:rsidRPr="00DB2B89">
        <w:rPr>
          <w:rFonts w:ascii="Times New Roman" w:hAnsi="Times New Roman" w:cs="Times New Roman"/>
          <w:sz w:val="24"/>
          <w:szCs w:val="24"/>
        </w:rPr>
        <w:t xml:space="preserve">stawy z dnia 27 sierpnia 2009 roku o finansach publicznych (Dz. U. </w:t>
      </w:r>
      <w:r w:rsidR="00CA57A2" w:rsidRPr="00DB2B89">
        <w:rPr>
          <w:rFonts w:ascii="Times New Roman" w:hAnsi="Times New Roman" w:cs="Times New Roman"/>
          <w:sz w:val="24"/>
          <w:szCs w:val="24"/>
        </w:rPr>
        <w:t>z 201</w:t>
      </w:r>
      <w:r w:rsidR="002C05F7">
        <w:rPr>
          <w:rFonts w:ascii="Times New Roman" w:hAnsi="Times New Roman" w:cs="Times New Roman"/>
          <w:sz w:val="24"/>
          <w:szCs w:val="24"/>
        </w:rPr>
        <w:t>7</w:t>
      </w:r>
      <w:r w:rsidR="00CA57A2" w:rsidRPr="00DB2B89">
        <w:rPr>
          <w:rFonts w:ascii="Times New Roman" w:hAnsi="Times New Roman" w:cs="Times New Roman"/>
          <w:sz w:val="24"/>
          <w:szCs w:val="24"/>
        </w:rPr>
        <w:t xml:space="preserve"> r. poz. </w:t>
      </w:r>
      <w:r w:rsidR="002C05F7">
        <w:rPr>
          <w:rFonts w:ascii="Times New Roman" w:hAnsi="Times New Roman" w:cs="Times New Roman"/>
          <w:sz w:val="24"/>
          <w:szCs w:val="24"/>
        </w:rPr>
        <w:t>2077</w:t>
      </w:r>
      <w:r w:rsidR="00AA7E57" w:rsidRPr="00DB2B89">
        <w:rPr>
          <w:rFonts w:ascii="Times New Roman" w:hAnsi="Times New Roman" w:cs="Times New Roman"/>
          <w:sz w:val="24"/>
          <w:szCs w:val="24"/>
        </w:rPr>
        <w:t>) –</w:t>
      </w:r>
      <w:r w:rsidR="00CA1C7E" w:rsidRPr="00DB2B89">
        <w:rPr>
          <w:rFonts w:ascii="Times New Roman" w:hAnsi="Times New Roman" w:cs="Times New Roman"/>
          <w:sz w:val="24"/>
          <w:szCs w:val="24"/>
        </w:rPr>
        <w:t xml:space="preserve"> dalej zwana u</w:t>
      </w:r>
      <w:r w:rsidR="00AA7E57" w:rsidRPr="00DB2B89">
        <w:rPr>
          <w:rFonts w:ascii="Times New Roman" w:hAnsi="Times New Roman" w:cs="Times New Roman"/>
          <w:sz w:val="24"/>
          <w:szCs w:val="24"/>
        </w:rPr>
        <w:t xml:space="preserve">stawą. </w:t>
      </w:r>
    </w:p>
    <w:p w:rsidR="005147BE" w:rsidRPr="00DB2B89" w:rsidRDefault="005147BE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Jest to okres na jaki przyjęto limity wydatków na realizację przedsięwzięć wieloletnich. Prognoza kwoty długu i jego spłaty obejmuje lata 201</w:t>
      </w:r>
      <w:r w:rsidR="003B4157">
        <w:rPr>
          <w:rFonts w:ascii="Times New Roman" w:hAnsi="Times New Roman" w:cs="Times New Roman"/>
          <w:sz w:val="24"/>
          <w:szCs w:val="24"/>
        </w:rPr>
        <w:t>8</w:t>
      </w:r>
      <w:r w:rsidR="006A360D" w:rsidRPr="00DB2B89">
        <w:rPr>
          <w:rFonts w:ascii="Times New Roman" w:hAnsi="Times New Roman" w:cs="Times New Roman"/>
          <w:sz w:val="24"/>
          <w:szCs w:val="24"/>
        </w:rPr>
        <w:t>-</w:t>
      </w:r>
      <w:r w:rsidR="00662C4F">
        <w:rPr>
          <w:rFonts w:ascii="Times New Roman" w:hAnsi="Times New Roman" w:cs="Times New Roman"/>
          <w:sz w:val="24"/>
          <w:szCs w:val="24"/>
        </w:rPr>
        <w:t>2025</w:t>
      </w:r>
      <w:r w:rsidRPr="00DB2B89">
        <w:rPr>
          <w:rFonts w:ascii="Times New Roman" w:hAnsi="Times New Roman" w:cs="Times New Roman"/>
          <w:sz w:val="24"/>
          <w:szCs w:val="24"/>
        </w:rPr>
        <w:t xml:space="preserve"> i wynika </w:t>
      </w:r>
      <w:r w:rsidR="00662C4F">
        <w:rPr>
          <w:rFonts w:ascii="Times New Roman" w:hAnsi="Times New Roman" w:cs="Times New Roman"/>
          <w:sz w:val="24"/>
          <w:szCs w:val="24"/>
        </w:rPr>
        <w:t>z zaciągniętych</w:t>
      </w:r>
      <w:r w:rsidRPr="00DB2B89">
        <w:rPr>
          <w:rFonts w:ascii="Times New Roman" w:hAnsi="Times New Roman" w:cs="Times New Roman"/>
          <w:sz w:val="24"/>
          <w:szCs w:val="24"/>
        </w:rPr>
        <w:t xml:space="preserve"> zobowiązań.</w:t>
      </w:r>
    </w:p>
    <w:p w:rsidR="00AA7E57" w:rsidRPr="00DB2B89" w:rsidRDefault="00E776D6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Zakres danych wykazywanych w WPF określa art. 226 ustawy. Są to m. in.</w:t>
      </w:r>
      <w:r w:rsidR="00AA7E57" w:rsidRPr="00DB2B89">
        <w:rPr>
          <w:rFonts w:ascii="Times New Roman" w:hAnsi="Times New Roman" w:cs="Times New Roman"/>
          <w:sz w:val="24"/>
          <w:szCs w:val="24"/>
        </w:rPr>
        <w:t xml:space="preserve"> przewidywane dochody, wydatki</w:t>
      </w:r>
      <w:r w:rsidR="00AF10F2" w:rsidRPr="00DB2B89">
        <w:rPr>
          <w:rFonts w:ascii="Times New Roman" w:hAnsi="Times New Roman" w:cs="Times New Roman"/>
          <w:sz w:val="24"/>
          <w:szCs w:val="24"/>
        </w:rPr>
        <w:t xml:space="preserve"> (bieżące i majątkowe), wynik finansowy budżetu i jego przeznaczenie</w:t>
      </w:r>
      <w:r w:rsidR="005147BE" w:rsidRPr="00DB2B89">
        <w:rPr>
          <w:rFonts w:ascii="Times New Roman" w:hAnsi="Times New Roman" w:cs="Times New Roman"/>
          <w:sz w:val="24"/>
          <w:szCs w:val="24"/>
        </w:rPr>
        <w:t xml:space="preserve"> lub sposób sfinansowania</w:t>
      </w:r>
      <w:r w:rsidR="00AF10F2" w:rsidRPr="00DB2B89">
        <w:rPr>
          <w:rFonts w:ascii="Times New Roman" w:hAnsi="Times New Roman" w:cs="Times New Roman"/>
          <w:sz w:val="24"/>
          <w:szCs w:val="24"/>
        </w:rPr>
        <w:t>, przychody i rozchody budżetu, kwotę długu gminy</w:t>
      </w:r>
      <w:r w:rsidR="005147BE" w:rsidRPr="00DB2B89">
        <w:rPr>
          <w:rFonts w:ascii="Times New Roman" w:hAnsi="Times New Roman" w:cs="Times New Roman"/>
          <w:sz w:val="24"/>
          <w:szCs w:val="24"/>
        </w:rPr>
        <w:t>,</w:t>
      </w:r>
      <w:r w:rsidR="00AF10F2" w:rsidRPr="00DB2B89">
        <w:rPr>
          <w:rFonts w:ascii="Times New Roman" w:hAnsi="Times New Roman" w:cs="Times New Roman"/>
          <w:sz w:val="24"/>
          <w:szCs w:val="24"/>
        </w:rPr>
        <w:t xml:space="preserve"> sposób sfinansowania spłaty </w:t>
      </w:r>
      <w:r w:rsidR="005147BE" w:rsidRPr="00DB2B89">
        <w:rPr>
          <w:rFonts w:ascii="Times New Roman" w:hAnsi="Times New Roman" w:cs="Times New Roman"/>
          <w:sz w:val="24"/>
          <w:szCs w:val="24"/>
        </w:rPr>
        <w:t xml:space="preserve">długu oraz kwoty wydatków wynikające z </w:t>
      </w:r>
      <w:r w:rsidR="00BF14C2" w:rsidRPr="00DB2B89">
        <w:rPr>
          <w:rFonts w:ascii="Times New Roman" w:hAnsi="Times New Roman" w:cs="Times New Roman"/>
          <w:sz w:val="24"/>
          <w:szCs w:val="24"/>
        </w:rPr>
        <w:t xml:space="preserve">limitów </w:t>
      </w:r>
      <w:r w:rsidR="005147BE" w:rsidRPr="00DB2B89">
        <w:rPr>
          <w:rFonts w:ascii="Times New Roman" w:hAnsi="Times New Roman" w:cs="Times New Roman"/>
          <w:sz w:val="24"/>
          <w:szCs w:val="24"/>
        </w:rPr>
        <w:t>przedsięwzięć</w:t>
      </w:r>
      <w:r w:rsidR="00AF10F2" w:rsidRPr="00DB2B89">
        <w:rPr>
          <w:rFonts w:ascii="Times New Roman" w:hAnsi="Times New Roman" w:cs="Times New Roman"/>
          <w:sz w:val="24"/>
          <w:szCs w:val="24"/>
        </w:rPr>
        <w:t>.</w:t>
      </w:r>
    </w:p>
    <w:p w:rsidR="00AA7E57" w:rsidRPr="00DB2B89" w:rsidRDefault="00AA7E57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W prognozie przyjęto następujące</w:t>
      </w:r>
      <w:r w:rsidR="003E43D3" w:rsidRPr="00DB2B89">
        <w:rPr>
          <w:rFonts w:ascii="Times New Roman" w:hAnsi="Times New Roman" w:cs="Times New Roman"/>
          <w:sz w:val="24"/>
          <w:szCs w:val="24"/>
        </w:rPr>
        <w:t xml:space="preserve"> podstawowe</w:t>
      </w:r>
      <w:r w:rsidRPr="00DB2B89">
        <w:rPr>
          <w:rFonts w:ascii="Times New Roman" w:hAnsi="Times New Roman" w:cs="Times New Roman"/>
          <w:sz w:val="24"/>
          <w:szCs w:val="24"/>
        </w:rPr>
        <w:t xml:space="preserve"> założenia:</w:t>
      </w:r>
    </w:p>
    <w:p w:rsidR="00AA7E57" w:rsidRPr="00DB2B89" w:rsidRDefault="003E43D3" w:rsidP="00396F6F">
      <w:pPr>
        <w:pStyle w:val="Akapitzlist"/>
        <w:numPr>
          <w:ilvl w:val="0"/>
          <w:numId w:val="2"/>
        </w:numPr>
        <w:spacing w:after="0" w:line="360" w:lineRule="auto"/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dla roku 201</w:t>
      </w:r>
      <w:r w:rsidR="003B4157">
        <w:rPr>
          <w:rFonts w:ascii="Times New Roman" w:hAnsi="Times New Roman" w:cs="Times New Roman"/>
          <w:sz w:val="24"/>
          <w:szCs w:val="24"/>
        </w:rPr>
        <w:t>8</w:t>
      </w:r>
      <w:r w:rsidRPr="00DB2B89">
        <w:rPr>
          <w:rFonts w:ascii="Times New Roman" w:hAnsi="Times New Roman" w:cs="Times New Roman"/>
          <w:sz w:val="24"/>
          <w:szCs w:val="24"/>
        </w:rPr>
        <w:t xml:space="preserve"> wartości wynikające z projektu budżetu,</w:t>
      </w:r>
    </w:p>
    <w:p w:rsidR="00E776D6" w:rsidRPr="00DB2B89" w:rsidRDefault="003E43D3" w:rsidP="00396F6F">
      <w:pPr>
        <w:pStyle w:val="Akapitzlist"/>
        <w:numPr>
          <w:ilvl w:val="0"/>
          <w:numId w:val="2"/>
        </w:numPr>
        <w:spacing w:after="0" w:line="360" w:lineRule="auto"/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dla lat 201</w:t>
      </w:r>
      <w:r w:rsidR="003B4157">
        <w:rPr>
          <w:rFonts w:ascii="Times New Roman" w:hAnsi="Times New Roman" w:cs="Times New Roman"/>
          <w:sz w:val="24"/>
          <w:szCs w:val="24"/>
        </w:rPr>
        <w:t>9-2021</w:t>
      </w:r>
      <w:r w:rsidRPr="00DB2B89">
        <w:rPr>
          <w:rFonts w:ascii="Times New Roman" w:hAnsi="Times New Roman" w:cs="Times New Roman"/>
          <w:sz w:val="24"/>
          <w:szCs w:val="24"/>
        </w:rPr>
        <w:t xml:space="preserve"> prognoza wykonana poprzez indeksację o </w:t>
      </w:r>
      <w:r w:rsidR="00B16436" w:rsidRPr="00DB2B89">
        <w:rPr>
          <w:rFonts w:ascii="Times New Roman" w:hAnsi="Times New Roman" w:cs="Times New Roman"/>
          <w:sz w:val="24"/>
          <w:szCs w:val="24"/>
        </w:rPr>
        <w:t xml:space="preserve">przewidywany </w:t>
      </w:r>
      <w:r w:rsidRPr="00DB2B89">
        <w:rPr>
          <w:rFonts w:ascii="Times New Roman" w:hAnsi="Times New Roman" w:cs="Times New Roman"/>
          <w:sz w:val="24"/>
          <w:szCs w:val="24"/>
        </w:rPr>
        <w:t>wskaźniki inflacji</w:t>
      </w:r>
      <w:r w:rsidR="003B4157">
        <w:rPr>
          <w:rFonts w:ascii="Times New Roman" w:hAnsi="Times New Roman" w:cs="Times New Roman"/>
          <w:sz w:val="24"/>
          <w:szCs w:val="24"/>
        </w:rPr>
        <w:t xml:space="preserve"> (2,3%, 2,5%, 2,5%)</w:t>
      </w:r>
      <w:r w:rsidRPr="00DB2B89">
        <w:rPr>
          <w:rFonts w:ascii="Times New Roman" w:hAnsi="Times New Roman" w:cs="Times New Roman"/>
          <w:sz w:val="24"/>
          <w:szCs w:val="24"/>
        </w:rPr>
        <w:t xml:space="preserve"> oraz dynamiki PKB</w:t>
      </w:r>
      <w:r w:rsidR="00662C4F">
        <w:rPr>
          <w:rFonts w:ascii="Times New Roman" w:hAnsi="Times New Roman" w:cs="Times New Roman"/>
          <w:sz w:val="24"/>
          <w:szCs w:val="24"/>
        </w:rPr>
        <w:t xml:space="preserve"> (3,8</w:t>
      </w:r>
      <w:r w:rsidR="005147BE" w:rsidRPr="00DB2B89">
        <w:rPr>
          <w:rFonts w:ascii="Times New Roman" w:hAnsi="Times New Roman" w:cs="Times New Roman"/>
          <w:sz w:val="24"/>
          <w:szCs w:val="24"/>
        </w:rPr>
        <w:t>%</w:t>
      </w:r>
      <w:r w:rsidR="003B4157">
        <w:rPr>
          <w:rFonts w:ascii="Times New Roman" w:hAnsi="Times New Roman" w:cs="Times New Roman"/>
          <w:sz w:val="24"/>
          <w:szCs w:val="24"/>
        </w:rPr>
        <w:t>, 3,8</w:t>
      </w:r>
      <w:r w:rsidR="00662C4F">
        <w:rPr>
          <w:rFonts w:ascii="Times New Roman" w:hAnsi="Times New Roman" w:cs="Times New Roman"/>
          <w:sz w:val="24"/>
          <w:szCs w:val="24"/>
        </w:rPr>
        <w:t>%</w:t>
      </w:r>
      <w:r w:rsidR="003B4157">
        <w:rPr>
          <w:rFonts w:ascii="Times New Roman" w:hAnsi="Times New Roman" w:cs="Times New Roman"/>
          <w:sz w:val="24"/>
          <w:szCs w:val="24"/>
        </w:rPr>
        <w:t>,</w:t>
      </w:r>
      <w:r w:rsidR="00304231">
        <w:rPr>
          <w:rFonts w:ascii="Times New Roman" w:hAnsi="Times New Roman" w:cs="Times New Roman"/>
          <w:sz w:val="24"/>
          <w:szCs w:val="24"/>
        </w:rPr>
        <w:t xml:space="preserve"> </w:t>
      </w:r>
      <w:r w:rsidR="003B4157">
        <w:rPr>
          <w:rFonts w:ascii="Times New Roman" w:hAnsi="Times New Roman" w:cs="Times New Roman"/>
          <w:sz w:val="24"/>
          <w:szCs w:val="24"/>
        </w:rPr>
        <w:t>3,6%</w:t>
      </w:r>
      <w:r w:rsidR="005147BE" w:rsidRPr="00DB2B89">
        <w:rPr>
          <w:rFonts w:ascii="Times New Roman" w:hAnsi="Times New Roman" w:cs="Times New Roman"/>
          <w:sz w:val="24"/>
          <w:szCs w:val="24"/>
        </w:rPr>
        <w:t>)</w:t>
      </w:r>
      <w:r w:rsidR="00E776D6" w:rsidRPr="00DB2B89">
        <w:rPr>
          <w:rFonts w:ascii="Times New Roman" w:hAnsi="Times New Roman" w:cs="Times New Roman"/>
          <w:sz w:val="24"/>
          <w:szCs w:val="24"/>
        </w:rPr>
        <w:t>,</w:t>
      </w:r>
      <w:r w:rsidR="00FF545E">
        <w:rPr>
          <w:rFonts w:ascii="Times New Roman" w:hAnsi="Times New Roman" w:cs="Times New Roman"/>
          <w:sz w:val="24"/>
          <w:szCs w:val="24"/>
        </w:rPr>
        <w:t xml:space="preserve"> z uwzględnieniem szczególnych rozwiązań, o których mowa poniżej,</w:t>
      </w:r>
    </w:p>
    <w:p w:rsidR="003E43D3" w:rsidRPr="00DB2B89" w:rsidRDefault="003B4157" w:rsidP="00396F6F">
      <w:pPr>
        <w:pStyle w:val="Akapitzlist"/>
        <w:numPr>
          <w:ilvl w:val="0"/>
          <w:numId w:val="2"/>
        </w:numPr>
        <w:spacing w:after="0" w:line="360" w:lineRule="auto"/>
        <w:ind w:left="567" w:hanging="283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dla lat 2022</w:t>
      </w:r>
      <w:r w:rsidR="00E776D6" w:rsidRPr="00DB2B89">
        <w:rPr>
          <w:rFonts w:ascii="Times New Roman" w:hAnsi="Times New Roman" w:cs="Times New Roman"/>
          <w:sz w:val="24"/>
          <w:szCs w:val="24"/>
        </w:rPr>
        <w:t>-202</w:t>
      </w:r>
      <w:r w:rsidR="005E0ED1" w:rsidRPr="00DB2B89">
        <w:rPr>
          <w:rFonts w:ascii="Times New Roman" w:hAnsi="Times New Roman" w:cs="Times New Roman"/>
          <w:sz w:val="24"/>
          <w:szCs w:val="24"/>
        </w:rPr>
        <w:t>5</w:t>
      </w:r>
      <w:r w:rsidR="00E776D6" w:rsidRPr="00DB2B89">
        <w:rPr>
          <w:rFonts w:ascii="Times New Roman" w:hAnsi="Times New Roman" w:cs="Times New Roman"/>
          <w:sz w:val="24"/>
          <w:szCs w:val="24"/>
        </w:rPr>
        <w:t xml:space="preserve"> stałe wartości dochodów i wydatków bieżących.</w:t>
      </w:r>
      <w:r w:rsidR="003E43D3" w:rsidRPr="00DB2B8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32D92" w:rsidRPr="00DB2B89" w:rsidRDefault="00932D92" w:rsidP="00396F6F">
      <w:pPr>
        <w:pStyle w:val="Akapitzlist"/>
        <w:numPr>
          <w:ilvl w:val="0"/>
          <w:numId w:val="1"/>
        </w:numPr>
        <w:spacing w:after="0" w:line="360" w:lineRule="auto"/>
        <w:ind w:left="284" w:hanging="284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2B89">
        <w:rPr>
          <w:rFonts w:ascii="Times New Roman" w:hAnsi="Times New Roman" w:cs="Times New Roman"/>
          <w:b/>
          <w:sz w:val="24"/>
          <w:szCs w:val="24"/>
        </w:rPr>
        <w:t>Prognoza dochodów</w:t>
      </w:r>
    </w:p>
    <w:p w:rsidR="00932D92" w:rsidRPr="00DB2B89" w:rsidRDefault="00932D92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Prognozy dochodów dokonano przy następujących założeniach:</w:t>
      </w:r>
    </w:p>
    <w:p w:rsidR="00932D92" w:rsidRPr="00DB2B89" w:rsidRDefault="006A360D" w:rsidP="00396F6F">
      <w:pPr>
        <w:pStyle w:val="Akapitzlist"/>
        <w:numPr>
          <w:ilvl w:val="0"/>
          <w:numId w:val="3"/>
        </w:numPr>
        <w:spacing w:after="0" w:line="360" w:lineRule="auto"/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w</w:t>
      </w:r>
      <w:r w:rsidR="00932D92" w:rsidRPr="00DB2B89">
        <w:rPr>
          <w:rFonts w:ascii="Times New Roman" w:hAnsi="Times New Roman" w:cs="Times New Roman"/>
          <w:sz w:val="24"/>
          <w:szCs w:val="24"/>
        </w:rPr>
        <w:t xml:space="preserve"> dochodach ogółem dokonano podziału na dochody bieżące i majątkowe.</w:t>
      </w:r>
    </w:p>
    <w:p w:rsidR="00932D92" w:rsidRPr="00DB2B89" w:rsidRDefault="00932D92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W dochodach bieżących prognozowano w podziale na kategorie:</w:t>
      </w:r>
    </w:p>
    <w:p w:rsidR="00932D92" w:rsidRPr="00DB2B89" w:rsidRDefault="00320658" w:rsidP="00396F6F">
      <w:pPr>
        <w:pStyle w:val="Akapitzlist"/>
        <w:numPr>
          <w:ilvl w:val="0"/>
          <w:numId w:val="3"/>
        </w:numPr>
        <w:spacing w:after="0" w:line="360" w:lineRule="auto"/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wpływy z podatków</w:t>
      </w:r>
      <w:r w:rsidR="005147BE" w:rsidRPr="00DB2B89">
        <w:rPr>
          <w:rFonts w:ascii="Times New Roman" w:hAnsi="Times New Roman" w:cs="Times New Roman"/>
          <w:sz w:val="24"/>
          <w:szCs w:val="24"/>
        </w:rPr>
        <w:t xml:space="preserve"> i opłat, w tym z podatku od nieruchomości,</w:t>
      </w:r>
    </w:p>
    <w:p w:rsidR="00320658" w:rsidRPr="00DB2B89" w:rsidRDefault="00320658" w:rsidP="00396F6F">
      <w:pPr>
        <w:pStyle w:val="Akapitzlist"/>
        <w:numPr>
          <w:ilvl w:val="0"/>
          <w:numId w:val="3"/>
        </w:numPr>
        <w:spacing w:after="0" w:line="360" w:lineRule="auto"/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udział</w:t>
      </w:r>
      <w:r w:rsidR="00084B6C">
        <w:rPr>
          <w:rFonts w:ascii="Times New Roman" w:hAnsi="Times New Roman" w:cs="Times New Roman"/>
          <w:sz w:val="24"/>
          <w:szCs w:val="24"/>
        </w:rPr>
        <w:t>y</w:t>
      </w:r>
      <w:r w:rsidRPr="00DB2B89">
        <w:rPr>
          <w:rFonts w:ascii="Times New Roman" w:hAnsi="Times New Roman" w:cs="Times New Roman"/>
          <w:sz w:val="24"/>
          <w:szCs w:val="24"/>
        </w:rPr>
        <w:t xml:space="preserve"> w podatkach budżetu państwa,</w:t>
      </w:r>
    </w:p>
    <w:p w:rsidR="00320658" w:rsidRPr="00DB2B89" w:rsidRDefault="00320658" w:rsidP="00396F6F">
      <w:pPr>
        <w:pStyle w:val="Akapitzlist"/>
        <w:numPr>
          <w:ilvl w:val="0"/>
          <w:numId w:val="3"/>
        </w:numPr>
        <w:spacing w:after="0" w:line="360" w:lineRule="auto"/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subwencje z budżetu państwa,</w:t>
      </w:r>
    </w:p>
    <w:p w:rsidR="00320658" w:rsidRPr="00DB2B89" w:rsidRDefault="00320658" w:rsidP="00396F6F">
      <w:pPr>
        <w:pStyle w:val="Akapitzlist"/>
        <w:numPr>
          <w:ilvl w:val="0"/>
          <w:numId w:val="3"/>
        </w:numPr>
        <w:spacing w:after="0" w:line="360" w:lineRule="auto"/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dotacje,</w:t>
      </w:r>
    </w:p>
    <w:p w:rsidR="00320658" w:rsidRPr="00DB2B89" w:rsidRDefault="00320658" w:rsidP="00396F6F">
      <w:pPr>
        <w:pStyle w:val="Akapitzlist"/>
        <w:numPr>
          <w:ilvl w:val="0"/>
          <w:numId w:val="3"/>
        </w:numPr>
        <w:spacing w:after="0" w:line="360" w:lineRule="auto"/>
        <w:ind w:left="567" w:hanging="283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pozostałe dochody bieżące.</w:t>
      </w:r>
    </w:p>
    <w:p w:rsidR="00FF3C33" w:rsidRPr="00DB2B89" w:rsidRDefault="00FD6691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 xml:space="preserve">Dochody bieżące kalkulowano w oparciu o </w:t>
      </w:r>
      <w:r w:rsidR="00B16436" w:rsidRPr="00DB2B89">
        <w:rPr>
          <w:rFonts w:ascii="Times New Roman" w:hAnsi="Times New Roman" w:cs="Times New Roman"/>
          <w:sz w:val="24"/>
          <w:szCs w:val="24"/>
        </w:rPr>
        <w:t xml:space="preserve">przewidywany </w:t>
      </w:r>
      <w:r w:rsidRPr="00DB2B89">
        <w:rPr>
          <w:rFonts w:ascii="Times New Roman" w:hAnsi="Times New Roman" w:cs="Times New Roman"/>
          <w:sz w:val="24"/>
          <w:szCs w:val="24"/>
        </w:rPr>
        <w:t>wskaźnik inflacji, z wyjątkiem udziałów, dla których obliczenia oparto o wskaźnik PKB.</w:t>
      </w:r>
      <w:r w:rsidR="005147BE" w:rsidRPr="00DB2B89">
        <w:rPr>
          <w:rFonts w:ascii="Times New Roman" w:hAnsi="Times New Roman" w:cs="Times New Roman"/>
          <w:sz w:val="24"/>
          <w:szCs w:val="24"/>
        </w:rPr>
        <w:t xml:space="preserve"> Dla podatku od nieruchomości przyjęto założenie wzrostu dochodów, wynikające</w:t>
      </w:r>
      <w:r w:rsidR="00084B6C">
        <w:rPr>
          <w:rFonts w:ascii="Times New Roman" w:hAnsi="Times New Roman" w:cs="Times New Roman"/>
          <w:sz w:val="24"/>
          <w:szCs w:val="24"/>
        </w:rPr>
        <w:t xml:space="preserve"> jedynie</w:t>
      </w:r>
      <w:r w:rsidR="005147BE" w:rsidRPr="00DB2B89">
        <w:rPr>
          <w:rFonts w:ascii="Times New Roman" w:hAnsi="Times New Roman" w:cs="Times New Roman"/>
          <w:sz w:val="24"/>
          <w:szCs w:val="24"/>
        </w:rPr>
        <w:t xml:space="preserve"> ze wzrostu bazy</w:t>
      </w:r>
      <w:r w:rsidR="00084B6C">
        <w:rPr>
          <w:rFonts w:ascii="Times New Roman" w:hAnsi="Times New Roman" w:cs="Times New Roman"/>
          <w:sz w:val="24"/>
          <w:szCs w:val="24"/>
        </w:rPr>
        <w:t xml:space="preserve"> podatkowej</w:t>
      </w:r>
      <w:r w:rsidR="005147BE" w:rsidRPr="00DB2B89">
        <w:rPr>
          <w:rFonts w:ascii="Times New Roman" w:hAnsi="Times New Roman" w:cs="Times New Roman"/>
          <w:sz w:val="24"/>
          <w:szCs w:val="24"/>
        </w:rPr>
        <w:t>, bez zwiększenia stawek podatkowych.</w:t>
      </w:r>
      <w:r w:rsidR="00DB2407" w:rsidRPr="00DB2B89">
        <w:rPr>
          <w:rFonts w:ascii="Times New Roman" w:hAnsi="Times New Roman" w:cs="Times New Roman"/>
          <w:sz w:val="24"/>
          <w:szCs w:val="24"/>
        </w:rPr>
        <w:t xml:space="preserve"> </w:t>
      </w:r>
      <w:r w:rsidR="00CD2274" w:rsidRPr="00DB2B89">
        <w:rPr>
          <w:rFonts w:ascii="Times New Roman" w:hAnsi="Times New Roman" w:cs="Times New Roman"/>
          <w:sz w:val="24"/>
          <w:szCs w:val="24"/>
        </w:rPr>
        <w:t xml:space="preserve">Zgodnie z pismem Ministerstwa Edukacji Narodowej </w:t>
      </w:r>
      <w:r w:rsidR="00CD2274" w:rsidRPr="00DB2B89">
        <w:rPr>
          <w:rFonts w:ascii="Times New Roman" w:hAnsi="Times New Roman" w:cs="Times New Roman"/>
          <w:sz w:val="24"/>
          <w:szCs w:val="24"/>
        </w:rPr>
        <w:lastRenderedPageBreak/>
        <w:t>zaplanowano także uzyskanie dotacji z budżetu państwa na dofinansowanie zadań z zakresu wychowania przedszkolnego.</w:t>
      </w:r>
    </w:p>
    <w:p w:rsidR="00084B6C" w:rsidRDefault="003B4157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Od roku 2022</w:t>
      </w:r>
      <w:r w:rsidR="00084B6C" w:rsidRPr="00DB2B89">
        <w:rPr>
          <w:rFonts w:ascii="Times New Roman" w:hAnsi="Times New Roman" w:cs="Times New Roman"/>
          <w:sz w:val="24"/>
          <w:szCs w:val="24"/>
        </w:rPr>
        <w:t xml:space="preserve"> dla bezpieczeństwa prognozy przyjęto stały poziom dochodów bieżących.</w:t>
      </w:r>
    </w:p>
    <w:p w:rsidR="001A7FD6" w:rsidRDefault="00ED459D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Dochody ze sprzedaży majątku zostały zaplanowane zgodnie ze złożonym</w:t>
      </w:r>
      <w:r w:rsidR="00B16436" w:rsidRPr="00DB2B89">
        <w:rPr>
          <w:rFonts w:ascii="Times New Roman" w:hAnsi="Times New Roman" w:cs="Times New Roman"/>
          <w:sz w:val="24"/>
          <w:szCs w:val="24"/>
        </w:rPr>
        <w:t>i</w:t>
      </w:r>
      <w:r w:rsidRPr="00DB2B89">
        <w:rPr>
          <w:rFonts w:ascii="Times New Roman" w:hAnsi="Times New Roman" w:cs="Times New Roman"/>
          <w:sz w:val="24"/>
          <w:szCs w:val="24"/>
        </w:rPr>
        <w:t xml:space="preserve"> przez wydziały merytoryczne </w:t>
      </w:r>
      <w:r w:rsidR="00865DD6" w:rsidRPr="00DB2B89">
        <w:rPr>
          <w:rFonts w:ascii="Times New Roman" w:hAnsi="Times New Roman" w:cs="Times New Roman"/>
          <w:sz w:val="24"/>
          <w:szCs w:val="24"/>
        </w:rPr>
        <w:t>planami sprzedaży</w:t>
      </w:r>
      <w:r w:rsidRPr="00DB2B89">
        <w:rPr>
          <w:rFonts w:ascii="Times New Roman" w:hAnsi="Times New Roman" w:cs="Times New Roman"/>
          <w:sz w:val="24"/>
          <w:szCs w:val="24"/>
        </w:rPr>
        <w:t xml:space="preserve"> mienia miasta Działdowo</w:t>
      </w:r>
      <w:r w:rsidR="000479C3">
        <w:rPr>
          <w:rFonts w:ascii="Times New Roman" w:hAnsi="Times New Roman" w:cs="Times New Roman"/>
          <w:sz w:val="24"/>
          <w:szCs w:val="24"/>
        </w:rPr>
        <w:t>,</w:t>
      </w:r>
      <w:r w:rsidR="005147BE" w:rsidRPr="00DB2B89">
        <w:rPr>
          <w:rFonts w:ascii="Times New Roman" w:hAnsi="Times New Roman" w:cs="Times New Roman"/>
          <w:sz w:val="24"/>
          <w:szCs w:val="24"/>
        </w:rPr>
        <w:t xml:space="preserve"> w tym </w:t>
      </w:r>
      <w:r w:rsidRPr="00DB2B89">
        <w:rPr>
          <w:rFonts w:ascii="Times New Roman" w:hAnsi="Times New Roman" w:cs="Times New Roman"/>
          <w:sz w:val="24"/>
          <w:szCs w:val="24"/>
        </w:rPr>
        <w:t>mieszkań komunalnych</w:t>
      </w:r>
      <w:r w:rsidR="005147BE" w:rsidRPr="00DB2B89">
        <w:rPr>
          <w:rFonts w:ascii="Times New Roman" w:hAnsi="Times New Roman" w:cs="Times New Roman"/>
          <w:sz w:val="24"/>
          <w:szCs w:val="24"/>
        </w:rPr>
        <w:t xml:space="preserve"> oraz sprzedaży rozłożonych na raty w latach poprzednich</w:t>
      </w:r>
      <w:r w:rsidRPr="00DB2B89">
        <w:rPr>
          <w:rFonts w:ascii="Times New Roman" w:hAnsi="Times New Roman" w:cs="Times New Roman"/>
          <w:sz w:val="24"/>
          <w:szCs w:val="24"/>
        </w:rPr>
        <w:t>.</w:t>
      </w:r>
      <w:r w:rsidR="00500297" w:rsidRPr="00DB2B89">
        <w:rPr>
          <w:rFonts w:ascii="Times New Roman" w:hAnsi="Times New Roman" w:cs="Times New Roman"/>
          <w:sz w:val="24"/>
          <w:szCs w:val="24"/>
        </w:rPr>
        <w:t xml:space="preserve"> </w:t>
      </w:r>
      <w:r w:rsidR="003B4157">
        <w:rPr>
          <w:rFonts w:ascii="Times New Roman" w:hAnsi="Times New Roman" w:cs="Times New Roman"/>
          <w:sz w:val="24"/>
          <w:szCs w:val="24"/>
        </w:rPr>
        <w:t xml:space="preserve">Zaplanowano w roku 2019 </w:t>
      </w:r>
      <w:r w:rsidR="001A7FD6" w:rsidRPr="001A7FD6">
        <w:rPr>
          <w:rFonts w:ascii="Times New Roman" w:hAnsi="Times New Roman" w:cs="Times New Roman"/>
          <w:sz w:val="24"/>
          <w:szCs w:val="24"/>
        </w:rPr>
        <w:t xml:space="preserve">pozyskanie </w:t>
      </w:r>
      <w:r w:rsidR="00FF545E">
        <w:rPr>
          <w:rFonts w:ascii="Times New Roman" w:hAnsi="Times New Roman" w:cs="Times New Roman"/>
          <w:sz w:val="24"/>
          <w:szCs w:val="24"/>
        </w:rPr>
        <w:t>środków z Unii Europejskiej</w:t>
      </w:r>
      <w:r w:rsidR="001A7FD6" w:rsidRPr="001A7FD6">
        <w:rPr>
          <w:rFonts w:ascii="Times New Roman" w:hAnsi="Times New Roman" w:cs="Times New Roman"/>
          <w:sz w:val="24"/>
          <w:szCs w:val="24"/>
        </w:rPr>
        <w:t xml:space="preserve"> przeznaczonych </w:t>
      </w:r>
      <w:r w:rsidR="00BE69E7">
        <w:rPr>
          <w:rFonts w:ascii="Times New Roman" w:hAnsi="Times New Roman" w:cs="Times New Roman"/>
          <w:sz w:val="24"/>
          <w:szCs w:val="24"/>
        </w:rPr>
        <w:t xml:space="preserve">na inwestycje w kwocie </w:t>
      </w:r>
      <w:r w:rsidR="003B4157">
        <w:rPr>
          <w:rFonts w:ascii="Times New Roman" w:hAnsi="Times New Roman" w:cs="Times New Roman"/>
          <w:sz w:val="24"/>
          <w:szCs w:val="24"/>
        </w:rPr>
        <w:t>4.200.0</w:t>
      </w:r>
      <w:r w:rsidR="00BE69E7">
        <w:rPr>
          <w:rFonts w:ascii="Times New Roman" w:hAnsi="Times New Roman" w:cs="Times New Roman"/>
          <w:sz w:val="24"/>
          <w:szCs w:val="24"/>
        </w:rPr>
        <w:t>00</w:t>
      </w:r>
      <w:r w:rsidR="00C13BD2">
        <w:rPr>
          <w:rFonts w:ascii="Times New Roman" w:hAnsi="Times New Roman" w:cs="Times New Roman"/>
          <w:sz w:val="24"/>
          <w:szCs w:val="24"/>
        </w:rPr>
        <w:t>,00</w:t>
      </w:r>
      <w:r w:rsidR="00BE69E7">
        <w:rPr>
          <w:rFonts w:ascii="Times New Roman" w:hAnsi="Times New Roman" w:cs="Times New Roman"/>
          <w:sz w:val="24"/>
          <w:szCs w:val="24"/>
        </w:rPr>
        <w:t xml:space="preserve"> zł</w:t>
      </w:r>
      <w:r w:rsidR="009B7A70">
        <w:rPr>
          <w:rFonts w:ascii="Times New Roman" w:hAnsi="Times New Roman" w:cs="Times New Roman"/>
          <w:sz w:val="24"/>
          <w:szCs w:val="24"/>
        </w:rPr>
        <w:t xml:space="preserve"> oraz środków z Ministerstwa Sportu i Turystyki w kwocie 798.500,00 zł.</w:t>
      </w:r>
      <w:r w:rsidR="000F69EA">
        <w:rPr>
          <w:rFonts w:ascii="Times New Roman" w:hAnsi="Times New Roman" w:cs="Times New Roman"/>
          <w:sz w:val="24"/>
          <w:szCs w:val="24"/>
        </w:rPr>
        <w:t>, zgodnie z Aneksem Nr 1do umowy o dofinansowanie ze środków Funduszu Rozwoju Kultury Fizycznej zadania inwestycyjnego w ramach Programu Rozwoju Infrastruktury Lekkoatletycznej  - edycja 2017.</w:t>
      </w:r>
    </w:p>
    <w:p w:rsidR="00C13BD2" w:rsidRDefault="00C13BD2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13BD2" w:rsidRDefault="00F64175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E68FA54" wp14:editId="6C582E7F">
            <wp:extent cx="5800725" cy="2743200"/>
            <wp:effectExtent l="0" t="0" r="0" b="0"/>
            <wp:docPr id="9" name="Wykres 9">
              <a:extLst xmlns:a="http://schemas.openxmlformats.org/drawingml/2006/main">
                <a:ext uri="{FF2B5EF4-FFF2-40B4-BE49-F238E27FC236}">
                  <a16:creationId xmlns:a16="http://schemas.microsoft.com/office/drawing/2014/main" id="{1FCA6E41-52B8-4AA7-8991-53E29781237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FF545E" w:rsidRDefault="00FF545E" w:rsidP="00FF54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Struktura planowanych dochodów w latach 2018-2025</w:t>
      </w:r>
    </w:p>
    <w:p w:rsidR="00C13BD2" w:rsidRPr="00DB2B89" w:rsidRDefault="00C13BD2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72E8" w:rsidRPr="00DB2B89" w:rsidRDefault="009A72E8" w:rsidP="00396F6F">
      <w:pPr>
        <w:pStyle w:val="Akapitzlist"/>
        <w:numPr>
          <w:ilvl w:val="0"/>
          <w:numId w:val="1"/>
        </w:numPr>
        <w:spacing w:after="0" w:line="360" w:lineRule="auto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DB2B89">
        <w:rPr>
          <w:rFonts w:ascii="Times New Roman" w:hAnsi="Times New Roman" w:cs="Times New Roman"/>
          <w:b/>
          <w:sz w:val="24"/>
          <w:szCs w:val="24"/>
        </w:rPr>
        <w:t>Prognoza wydatków</w:t>
      </w:r>
    </w:p>
    <w:p w:rsidR="00084B6C" w:rsidRDefault="009A72E8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 xml:space="preserve">Podobnie jak dochody, wydatki podzielono przy prognozowaniu na kategorie wydatków bieżących i wydatków majątkowych. </w:t>
      </w:r>
      <w:r w:rsidR="00A17835" w:rsidRPr="00DB2B89">
        <w:rPr>
          <w:rFonts w:ascii="Times New Roman" w:hAnsi="Times New Roman" w:cs="Times New Roman"/>
          <w:sz w:val="24"/>
          <w:szCs w:val="24"/>
        </w:rPr>
        <w:t>Wydatki bieżące</w:t>
      </w:r>
      <w:r w:rsidR="005147BE" w:rsidRPr="00DB2B89">
        <w:rPr>
          <w:rFonts w:ascii="Times New Roman" w:hAnsi="Times New Roman" w:cs="Times New Roman"/>
          <w:sz w:val="24"/>
          <w:szCs w:val="24"/>
        </w:rPr>
        <w:t xml:space="preserve"> rozpatrywano w kategoriach wydatków stałych takich jak</w:t>
      </w:r>
      <w:r w:rsidR="006A360D" w:rsidRPr="00DB2B89">
        <w:rPr>
          <w:rFonts w:ascii="Times New Roman" w:hAnsi="Times New Roman" w:cs="Times New Roman"/>
          <w:sz w:val="24"/>
          <w:szCs w:val="24"/>
        </w:rPr>
        <w:t>:</w:t>
      </w:r>
      <w:r w:rsidR="005147BE" w:rsidRPr="00DB2B89">
        <w:rPr>
          <w:rFonts w:ascii="Times New Roman" w:hAnsi="Times New Roman" w:cs="Times New Roman"/>
          <w:sz w:val="24"/>
          <w:szCs w:val="24"/>
        </w:rPr>
        <w:t xml:space="preserve"> wynagrodzenia i ich pochodne, wydatki na prowadzenie działalności statutowej jednostek. </w:t>
      </w:r>
      <w:r w:rsidR="00C247DC" w:rsidRPr="00DB2B8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F545E" w:rsidRPr="00DB2B89" w:rsidRDefault="00FF545E" w:rsidP="00FF54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W latach 201</w:t>
      </w:r>
      <w:r>
        <w:rPr>
          <w:rFonts w:ascii="Times New Roman" w:hAnsi="Times New Roman" w:cs="Times New Roman"/>
          <w:sz w:val="24"/>
          <w:szCs w:val="24"/>
        </w:rPr>
        <w:t>9 – 2021</w:t>
      </w:r>
      <w:r w:rsidRPr="00DB2B89">
        <w:rPr>
          <w:rFonts w:ascii="Times New Roman" w:hAnsi="Times New Roman" w:cs="Times New Roman"/>
          <w:sz w:val="24"/>
          <w:szCs w:val="24"/>
        </w:rPr>
        <w:t xml:space="preserve"> sposób prognozowania wydatków bieżących o stałym charakterze jest oparty o przewidywany wskaźnik</w:t>
      </w:r>
      <w:r>
        <w:rPr>
          <w:rFonts w:ascii="Times New Roman" w:hAnsi="Times New Roman" w:cs="Times New Roman"/>
          <w:sz w:val="24"/>
          <w:szCs w:val="24"/>
        </w:rPr>
        <w:t xml:space="preserve"> inflacji, począwszy od roku 2022</w:t>
      </w:r>
      <w:r w:rsidRPr="00DB2B89">
        <w:rPr>
          <w:rFonts w:ascii="Times New Roman" w:hAnsi="Times New Roman" w:cs="Times New Roman"/>
          <w:sz w:val="24"/>
          <w:szCs w:val="24"/>
        </w:rPr>
        <w:t xml:space="preserve"> przyjęto</w:t>
      </w:r>
      <w:r>
        <w:rPr>
          <w:rFonts w:ascii="Times New Roman" w:hAnsi="Times New Roman" w:cs="Times New Roman"/>
          <w:sz w:val="24"/>
          <w:szCs w:val="24"/>
        </w:rPr>
        <w:t xml:space="preserve"> ich stały poziom</w:t>
      </w:r>
      <w:r w:rsidRPr="00DB2B89">
        <w:rPr>
          <w:rFonts w:ascii="Times New Roman" w:hAnsi="Times New Roman" w:cs="Times New Roman"/>
          <w:sz w:val="24"/>
          <w:szCs w:val="24"/>
        </w:rPr>
        <w:t>.</w:t>
      </w:r>
    </w:p>
    <w:p w:rsidR="00FF545E" w:rsidRPr="00DB2B89" w:rsidRDefault="00FF545E" w:rsidP="00FF54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Dane dotyczące roku 201</w:t>
      </w:r>
      <w:r>
        <w:rPr>
          <w:rFonts w:ascii="Times New Roman" w:hAnsi="Times New Roman" w:cs="Times New Roman"/>
          <w:sz w:val="24"/>
          <w:szCs w:val="24"/>
        </w:rPr>
        <w:t>8</w:t>
      </w:r>
      <w:r w:rsidRPr="00DB2B89">
        <w:rPr>
          <w:rFonts w:ascii="Times New Roman" w:hAnsi="Times New Roman" w:cs="Times New Roman"/>
          <w:sz w:val="24"/>
          <w:szCs w:val="24"/>
        </w:rPr>
        <w:t xml:space="preserve"> oparto o budżet tego roku.</w:t>
      </w:r>
    </w:p>
    <w:p w:rsidR="003B18D6" w:rsidRPr="00DB2B89" w:rsidRDefault="00FF545E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Remonty dróg i konserwację oświetlenia zaplanowano w oparciu o plan wydatków 2018 r. </w:t>
      </w:r>
      <w:r w:rsidR="004040DE"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sz w:val="24"/>
          <w:szCs w:val="24"/>
        </w:rPr>
        <w:t xml:space="preserve">z uwzględnieniem wskaźnika indeksacji. </w:t>
      </w:r>
      <w:r w:rsidR="003B18D6" w:rsidRPr="00DB2B89">
        <w:rPr>
          <w:rFonts w:ascii="Times New Roman" w:hAnsi="Times New Roman" w:cs="Times New Roman"/>
          <w:sz w:val="24"/>
          <w:szCs w:val="24"/>
        </w:rPr>
        <w:t>N</w:t>
      </w:r>
      <w:r w:rsidR="00C247DC" w:rsidRPr="00DB2B89">
        <w:rPr>
          <w:rFonts w:ascii="Times New Roman" w:hAnsi="Times New Roman" w:cs="Times New Roman"/>
          <w:sz w:val="24"/>
          <w:szCs w:val="24"/>
        </w:rPr>
        <w:t>a remonty</w:t>
      </w:r>
      <w:r w:rsidR="00084B6C">
        <w:rPr>
          <w:rFonts w:ascii="Times New Roman" w:hAnsi="Times New Roman" w:cs="Times New Roman"/>
          <w:sz w:val="24"/>
          <w:szCs w:val="24"/>
        </w:rPr>
        <w:t xml:space="preserve"> </w:t>
      </w:r>
      <w:r w:rsidR="00C247DC" w:rsidRPr="00DB2B89">
        <w:rPr>
          <w:rFonts w:ascii="Times New Roman" w:hAnsi="Times New Roman" w:cs="Times New Roman"/>
          <w:sz w:val="24"/>
          <w:szCs w:val="24"/>
        </w:rPr>
        <w:t>w placówkach oświatowych przyjęto</w:t>
      </w:r>
      <w:r w:rsidR="00DB2B89">
        <w:rPr>
          <w:rFonts w:ascii="Times New Roman" w:hAnsi="Times New Roman" w:cs="Times New Roman"/>
          <w:sz w:val="24"/>
          <w:szCs w:val="24"/>
        </w:rPr>
        <w:t xml:space="preserve"> środki w wysokości</w:t>
      </w:r>
      <w:r w:rsidR="003B4157">
        <w:rPr>
          <w:rFonts w:ascii="Times New Roman" w:hAnsi="Times New Roman" w:cs="Times New Roman"/>
          <w:sz w:val="24"/>
          <w:szCs w:val="24"/>
        </w:rPr>
        <w:t xml:space="preserve"> ok 13</w:t>
      </w:r>
      <w:r w:rsidR="00752548">
        <w:rPr>
          <w:rFonts w:ascii="Times New Roman" w:hAnsi="Times New Roman" w:cs="Times New Roman"/>
          <w:sz w:val="24"/>
          <w:szCs w:val="24"/>
        </w:rPr>
        <w:t>0</w:t>
      </w:r>
      <w:r w:rsidR="00C247DC" w:rsidRPr="00DB2B89">
        <w:rPr>
          <w:rFonts w:ascii="Times New Roman" w:hAnsi="Times New Roman" w:cs="Times New Roman"/>
          <w:sz w:val="24"/>
          <w:szCs w:val="24"/>
        </w:rPr>
        <w:t>.000</w:t>
      </w:r>
      <w:r w:rsidR="00084B6C">
        <w:rPr>
          <w:rFonts w:ascii="Times New Roman" w:hAnsi="Times New Roman" w:cs="Times New Roman"/>
          <w:sz w:val="24"/>
          <w:szCs w:val="24"/>
        </w:rPr>
        <w:t>,00</w:t>
      </w:r>
      <w:r w:rsidR="00C247DC" w:rsidRPr="00DB2B89">
        <w:rPr>
          <w:rFonts w:ascii="Times New Roman" w:hAnsi="Times New Roman" w:cs="Times New Roman"/>
          <w:sz w:val="24"/>
          <w:szCs w:val="24"/>
        </w:rPr>
        <w:t xml:space="preserve"> zł. </w:t>
      </w:r>
    </w:p>
    <w:p w:rsidR="00752548" w:rsidRDefault="00084B6C" w:rsidP="0075254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Ponadto</w:t>
      </w:r>
      <w:r w:rsidR="00C247DC" w:rsidRPr="00DB2B89">
        <w:rPr>
          <w:rFonts w:ascii="Times New Roman" w:hAnsi="Times New Roman" w:cs="Times New Roman"/>
          <w:sz w:val="24"/>
          <w:szCs w:val="24"/>
        </w:rPr>
        <w:t xml:space="preserve"> założono środki na wymianę źródeł ciepła w budownictwie mieszkaniowym c</w:t>
      </w:r>
      <w:r w:rsidR="003B4157">
        <w:rPr>
          <w:rFonts w:ascii="Times New Roman" w:hAnsi="Times New Roman" w:cs="Times New Roman"/>
          <w:sz w:val="24"/>
          <w:szCs w:val="24"/>
        </w:rPr>
        <w:t>elem likwidacji niskiej emisji w latach 2018-2020 po 100.000,00 zł Od roku 2019</w:t>
      </w:r>
      <w:r w:rsidR="00752548" w:rsidRPr="00752548">
        <w:rPr>
          <w:rFonts w:ascii="Times New Roman" w:hAnsi="Times New Roman" w:cs="Times New Roman"/>
          <w:sz w:val="24"/>
          <w:szCs w:val="24"/>
        </w:rPr>
        <w:t xml:space="preserve"> zmniejszono dotacje na przedszkola niepubliczne w związku z rozbud</w:t>
      </w:r>
      <w:r w:rsidR="003B4157">
        <w:rPr>
          <w:rFonts w:ascii="Times New Roman" w:hAnsi="Times New Roman" w:cs="Times New Roman"/>
          <w:sz w:val="24"/>
          <w:szCs w:val="24"/>
        </w:rPr>
        <w:t xml:space="preserve">ową Przedszkola Miejskiego nr 4 </w:t>
      </w:r>
      <w:r w:rsidR="004040DE">
        <w:rPr>
          <w:rFonts w:ascii="Times New Roman" w:hAnsi="Times New Roman" w:cs="Times New Roman"/>
          <w:sz w:val="24"/>
          <w:szCs w:val="24"/>
        </w:rPr>
        <w:t xml:space="preserve">     </w:t>
      </w:r>
      <w:r w:rsidR="003B4157">
        <w:rPr>
          <w:rFonts w:ascii="Times New Roman" w:hAnsi="Times New Roman" w:cs="Times New Roman"/>
          <w:sz w:val="24"/>
          <w:szCs w:val="24"/>
        </w:rPr>
        <w:t>o cztery</w:t>
      </w:r>
      <w:r w:rsidR="006125D9">
        <w:rPr>
          <w:rFonts w:ascii="Times New Roman" w:hAnsi="Times New Roman" w:cs="Times New Roman"/>
          <w:sz w:val="24"/>
          <w:szCs w:val="24"/>
        </w:rPr>
        <w:t xml:space="preserve"> oddziały.</w:t>
      </w:r>
    </w:p>
    <w:p w:rsidR="00FF545E" w:rsidRDefault="00FF545E" w:rsidP="0075254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Przewidziano zwiększenie wydatków na całoroczne utrzymanie i funkcjonowanie obiektów wytworzonych w wyniku procesu inwestycyjnego takich jak:</w:t>
      </w:r>
    </w:p>
    <w:p w:rsidR="00FF545E" w:rsidRDefault="005F5E03" w:rsidP="0075254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752548">
        <w:rPr>
          <w:rFonts w:ascii="Times New Roman" w:hAnsi="Times New Roman" w:cs="Times New Roman"/>
          <w:sz w:val="24"/>
          <w:szCs w:val="24"/>
        </w:rPr>
        <w:t xml:space="preserve"> „</w:t>
      </w:r>
      <w:r w:rsidR="00752548" w:rsidRPr="00752548">
        <w:rPr>
          <w:rFonts w:ascii="Times New Roman" w:hAnsi="Times New Roman" w:cs="Times New Roman"/>
          <w:sz w:val="24"/>
          <w:szCs w:val="24"/>
        </w:rPr>
        <w:t>Stworzenie cen</w:t>
      </w:r>
      <w:r w:rsidR="00752548">
        <w:rPr>
          <w:rFonts w:ascii="Times New Roman" w:hAnsi="Times New Roman" w:cs="Times New Roman"/>
          <w:sz w:val="24"/>
          <w:szCs w:val="24"/>
        </w:rPr>
        <w:t>t</w:t>
      </w:r>
      <w:r w:rsidR="00752548" w:rsidRPr="00752548">
        <w:rPr>
          <w:rFonts w:ascii="Times New Roman" w:hAnsi="Times New Roman" w:cs="Times New Roman"/>
          <w:sz w:val="24"/>
          <w:szCs w:val="24"/>
        </w:rPr>
        <w:t>rum organizacji poz</w:t>
      </w:r>
      <w:r w:rsidR="00752548">
        <w:rPr>
          <w:rFonts w:ascii="Times New Roman" w:hAnsi="Times New Roman" w:cs="Times New Roman"/>
          <w:sz w:val="24"/>
          <w:szCs w:val="24"/>
        </w:rPr>
        <w:t xml:space="preserve">arządowych przy ul. Zamkowej 6” </w:t>
      </w:r>
    </w:p>
    <w:p w:rsidR="00752548" w:rsidRDefault="00FF545E" w:rsidP="0075254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0E3DF6">
        <w:rPr>
          <w:rFonts w:ascii="Times New Roman" w:hAnsi="Times New Roman" w:cs="Times New Roman"/>
          <w:sz w:val="24"/>
          <w:szCs w:val="24"/>
        </w:rPr>
        <w:t>„Zagospodarowanie gotyckiej części Zamku Krzyżack</w:t>
      </w:r>
      <w:r w:rsidR="008F7225">
        <w:rPr>
          <w:rFonts w:ascii="Times New Roman" w:hAnsi="Times New Roman" w:cs="Times New Roman"/>
          <w:sz w:val="24"/>
          <w:szCs w:val="24"/>
        </w:rPr>
        <w:t xml:space="preserve">iego w Działdowie” </w:t>
      </w:r>
    </w:p>
    <w:p w:rsidR="00FF545E" w:rsidRDefault="00FF545E" w:rsidP="0075254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Rozbudowa Przedszkola Miejskiego Nr 4 w Działdowie”</w:t>
      </w:r>
    </w:p>
    <w:p w:rsidR="00C247DC" w:rsidRPr="00DB2B89" w:rsidRDefault="00C247DC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W planie wydatków bieżących zabezpieczono środki na realizację przedsięwzięć, o których mowa w załączniku nr 2 do uchwały</w:t>
      </w:r>
      <w:r w:rsidR="003B18D6" w:rsidRPr="00DB2B89">
        <w:rPr>
          <w:rFonts w:ascii="Times New Roman" w:hAnsi="Times New Roman" w:cs="Times New Roman"/>
          <w:sz w:val="24"/>
          <w:szCs w:val="24"/>
        </w:rPr>
        <w:t>,</w:t>
      </w:r>
      <w:r w:rsidRPr="00DB2B89">
        <w:rPr>
          <w:rFonts w:ascii="Times New Roman" w:hAnsi="Times New Roman" w:cs="Times New Roman"/>
          <w:sz w:val="24"/>
          <w:szCs w:val="24"/>
        </w:rPr>
        <w:t xml:space="preserve"> obejmują one okres do roku 2025.</w:t>
      </w:r>
    </w:p>
    <w:p w:rsidR="000E3DF6" w:rsidRDefault="00E97A12" w:rsidP="000E3DF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 xml:space="preserve">Wydatki związane z obsługą zadłużenia zostały przeliczone zgodnie z harmonogramem spłaty zobowiązań </w:t>
      </w:r>
      <w:r w:rsidR="00AF10F2" w:rsidRPr="00DB2B89">
        <w:rPr>
          <w:rFonts w:ascii="Times New Roman" w:hAnsi="Times New Roman" w:cs="Times New Roman"/>
          <w:sz w:val="24"/>
          <w:szCs w:val="24"/>
        </w:rPr>
        <w:t xml:space="preserve">wynikających z podpisanych umów </w:t>
      </w:r>
      <w:r w:rsidR="000E3DF6">
        <w:rPr>
          <w:rFonts w:ascii="Times New Roman" w:hAnsi="Times New Roman" w:cs="Times New Roman"/>
          <w:sz w:val="24"/>
          <w:szCs w:val="24"/>
        </w:rPr>
        <w:t>oraz z przewidzianego do za</w:t>
      </w:r>
      <w:r w:rsidR="008F7225">
        <w:rPr>
          <w:rFonts w:ascii="Times New Roman" w:hAnsi="Times New Roman" w:cs="Times New Roman"/>
          <w:sz w:val="24"/>
          <w:szCs w:val="24"/>
        </w:rPr>
        <w:t>ciągnięcia nowego kredytu w 2018</w:t>
      </w:r>
      <w:r w:rsidR="000E3DF6">
        <w:rPr>
          <w:rFonts w:ascii="Times New Roman" w:hAnsi="Times New Roman" w:cs="Times New Roman"/>
          <w:sz w:val="24"/>
          <w:szCs w:val="24"/>
        </w:rPr>
        <w:t xml:space="preserve"> roku.</w:t>
      </w:r>
    </w:p>
    <w:p w:rsidR="00390628" w:rsidRDefault="00390628" w:rsidP="000E3DF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13BD2" w:rsidRDefault="00CD37DE" w:rsidP="000E3DF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67E672C0" wp14:editId="0ECD2803">
            <wp:extent cx="5886450" cy="2933700"/>
            <wp:effectExtent l="0" t="0" r="0" b="0"/>
            <wp:docPr id="1" name="Wykres 1">
              <a:extLst xmlns:a="http://schemas.openxmlformats.org/drawingml/2006/main">
                <a:ext uri="{FF2B5EF4-FFF2-40B4-BE49-F238E27FC236}">
                  <a16:creationId xmlns:a16="http://schemas.microsoft.com/office/drawing/2014/main" id="{2E384E2B-0C12-4F7F-8023-B1C7FCC955D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FF545E" w:rsidRDefault="00FF545E" w:rsidP="00FF54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Struktura planowanych wydatków w latach 2018-2025</w:t>
      </w:r>
    </w:p>
    <w:p w:rsidR="00390628" w:rsidRPr="00390628" w:rsidRDefault="00390628" w:rsidP="000E3DF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D78FB" w:rsidRPr="00D76352" w:rsidRDefault="00E97A12" w:rsidP="00D76352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76352">
        <w:rPr>
          <w:rFonts w:ascii="Times New Roman" w:hAnsi="Times New Roman" w:cs="Times New Roman"/>
          <w:b/>
          <w:sz w:val="24"/>
          <w:szCs w:val="24"/>
        </w:rPr>
        <w:t>Inwestycje (wydatki majątkowe)</w:t>
      </w:r>
    </w:p>
    <w:p w:rsidR="00E97A12" w:rsidRDefault="00BF14C2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5EFC">
        <w:rPr>
          <w:rFonts w:ascii="Times New Roman" w:hAnsi="Times New Roman" w:cs="Times New Roman"/>
          <w:sz w:val="24"/>
          <w:szCs w:val="24"/>
        </w:rPr>
        <w:t>W</w:t>
      </w:r>
      <w:r w:rsidR="00E97A12" w:rsidRPr="00635EFC">
        <w:rPr>
          <w:rFonts w:ascii="Times New Roman" w:hAnsi="Times New Roman" w:cs="Times New Roman"/>
          <w:sz w:val="24"/>
          <w:szCs w:val="24"/>
        </w:rPr>
        <w:t>ydatki majątkowe</w:t>
      </w:r>
      <w:r w:rsidR="000E3DF6" w:rsidRPr="00635EFC">
        <w:rPr>
          <w:rFonts w:ascii="Times New Roman" w:hAnsi="Times New Roman" w:cs="Times New Roman"/>
          <w:sz w:val="24"/>
          <w:szCs w:val="24"/>
        </w:rPr>
        <w:t xml:space="preserve"> </w:t>
      </w:r>
      <w:r w:rsidR="00C13BD2" w:rsidRPr="00635EFC">
        <w:rPr>
          <w:rFonts w:ascii="Times New Roman" w:hAnsi="Times New Roman" w:cs="Times New Roman"/>
          <w:sz w:val="24"/>
          <w:szCs w:val="24"/>
        </w:rPr>
        <w:t>w roku 2019</w:t>
      </w:r>
      <w:r w:rsidR="00353465" w:rsidRPr="00635EFC">
        <w:rPr>
          <w:rFonts w:ascii="Times New Roman" w:hAnsi="Times New Roman" w:cs="Times New Roman"/>
          <w:sz w:val="24"/>
          <w:szCs w:val="24"/>
        </w:rPr>
        <w:t xml:space="preserve"> stanowią zabezpieczenie roz</w:t>
      </w:r>
      <w:r w:rsidR="00C13BD2" w:rsidRPr="00635EFC">
        <w:rPr>
          <w:rFonts w:ascii="Times New Roman" w:hAnsi="Times New Roman" w:cs="Times New Roman"/>
          <w:sz w:val="24"/>
          <w:szCs w:val="24"/>
        </w:rPr>
        <w:t>poczętych inwestycji w roku 2018</w:t>
      </w:r>
      <w:r w:rsidR="00BC5A7C" w:rsidRPr="00635EFC">
        <w:rPr>
          <w:rFonts w:ascii="Times New Roman" w:hAnsi="Times New Roman" w:cs="Times New Roman"/>
          <w:sz w:val="24"/>
          <w:szCs w:val="24"/>
        </w:rPr>
        <w:t xml:space="preserve"> i latach poprzednich </w:t>
      </w:r>
      <w:r w:rsidR="00F252C7" w:rsidRPr="00635EFC">
        <w:rPr>
          <w:rFonts w:ascii="Times New Roman" w:hAnsi="Times New Roman" w:cs="Times New Roman"/>
          <w:sz w:val="24"/>
          <w:szCs w:val="24"/>
        </w:rPr>
        <w:t>-</w:t>
      </w:r>
      <w:r w:rsidR="00635EFC" w:rsidRPr="00635EFC">
        <w:rPr>
          <w:rFonts w:ascii="Times New Roman" w:hAnsi="Times New Roman" w:cs="Times New Roman"/>
          <w:sz w:val="24"/>
          <w:szCs w:val="24"/>
        </w:rPr>
        <w:t xml:space="preserve"> </w:t>
      </w:r>
      <w:r w:rsidR="00F252C7" w:rsidRPr="00635EFC">
        <w:rPr>
          <w:rFonts w:ascii="Times New Roman" w:hAnsi="Times New Roman" w:cs="Times New Roman"/>
          <w:sz w:val="24"/>
          <w:szCs w:val="24"/>
        </w:rPr>
        <w:t xml:space="preserve">kwota </w:t>
      </w:r>
      <w:r w:rsidR="00B53CC1">
        <w:rPr>
          <w:rFonts w:ascii="Times New Roman" w:hAnsi="Times New Roman" w:cs="Times New Roman"/>
          <w:sz w:val="24"/>
          <w:szCs w:val="24"/>
        </w:rPr>
        <w:t>5.509.929,00</w:t>
      </w:r>
      <w:r w:rsidR="00F252C7" w:rsidRPr="00635EFC">
        <w:rPr>
          <w:rFonts w:ascii="Times New Roman" w:hAnsi="Times New Roman" w:cs="Times New Roman"/>
          <w:sz w:val="24"/>
          <w:szCs w:val="24"/>
        </w:rPr>
        <w:t xml:space="preserve"> zł, pozostała część to inwestycje jednoroczne.</w:t>
      </w:r>
      <w:r w:rsidR="00F252C7">
        <w:rPr>
          <w:rFonts w:ascii="Times New Roman" w:hAnsi="Times New Roman" w:cs="Times New Roman"/>
          <w:sz w:val="24"/>
          <w:szCs w:val="24"/>
        </w:rPr>
        <w:t xml:space="preserve">  </w:t>
      </w:r>
      <w:r w:rsidR="00F252C7">
        <w:rPr>
          <w:rFonts w:ascii="Times New Roman" w:hAnsi="Times New Roman" w:cs="Times New Roman"/>
          <w:sz w:val="24"/>
          <w:szCs w:val="24"/>
        </w:rPr>
        <w:lastRenderedPageBreak/>
        <w:t>Wydatki majątkowe od roku 2</w:t>
      </w:r>
      <w:r w:rsidR="00304231">
        <w:rPr>
          <w:rFonts w:ascii="Times New Roman" w:hAnsi="Times New Roman" w:cs="Times New Roman"/>
          <w:sz w:val="24"/>
          <w:szCs w:val="24"/>
        </w:rPr>
        <w:t>020</w:t>
      </w:r>
      <w:r w:rsidR="00F252C7">
        <w:rPr>
          <w:rFonts w:ascii="Times New Roman" w:hAnsi="Times New Roman" w:cs="Times New Roman"/>
          <w:sz w:val="24"/>
          <w:szCs w:val="24"/>
        </w:rPr>
        <w:t xml:space="preserve"> </w:t>
      </w:r>
      <w:r w:rsidR="00E97A12" w:rsidRPr="00DB2B89">
        <w:rPr>
          <w:rFonts w:ascii="Times New Roman" w:hAnsi="Times New Roman" w:cs="Times New Roman"/>
          <w:sz w:val="24"/>
          <w:szCs w:val="24"/>
        </w:rPr>
        <w:t xml:space="preserve">ujęte w prognozie mają charakter wydatków inwestycyjnych jednorocznych, zatem nie </w:t>
      </w:r>
      <w:r w:rsidRPr="00DB2B89">
        <w:rPr>
          <w:rFonts w:ascii="Times New Roman" w:hAnsi="Times New Roman" w:cs="Times New Roman"/>
          <w:sz w:val="24"/>
          <w:szCs w:val="24"/>
        </w:rPr>
        <w:t xml:space="preserve">określono </w:t>
      </w:r>
      <w:r w:rsidR="00FF545E">
        <w:rPr>
          <w:rFonts w:ascii="Times New Roman" w:hAnsi="Times New Roman" w:cs="Times New Roman"/>
          <w:sz w:val="24"/>
          <w:szCs w:val="24"/>
        </w:rPr>
        <w:t xml:space="preserve">zadań </w:t>
      </w:r>
      <w:r w:rsidRPr="00DB2B89">
        <w:rPr>
          <w:rFonts w:ascii="Times New Roman" w:hAnsi="Times New Roman" w:cs="Times New Roman"/>
          <w:sz w:val="24"/>
          <w:szCs w:val="24"/>
        </w:rPr>
        <w:t>szczegółowych</w:t>
      </w:r>
      <w:r w:rsidR="00B221F9" w:rsidRPr="00DB2B89">
        <w:rPr>
          <w:rFonts w:ascii="Times New Roman" w:hAnsi="Times New Roman" w:cs="Times New Roman"/>
          <w:sz w:val="24"/>
          <w:szCs w:val="24"/>
        </w:rPr>
        <w:t>.</w:t>
      </w:r>
      <w:r w:rsidR="00A3682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02651" w:rsidRDefault="00A36821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36821">
        <w:rPr>
          <w:rFonts w:ascii="Times New Roman" w:hAnsi="Times New Roman" w:cs="Times New Roman"/>
          <w:sz w:val="24"/>
          <w:szCs w:val="24"/>
        </w:rPr>
        <w:t xml:space="preserve">Przewidziana do realizacji wartość zadań wymaga dodatkowego zaciągnięcia zobowiązania  finansowego w kwocie </w:t>
      </w:r>
      <w:r w:rsidR="00C13BD2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.</w:t>
      </w:r>
      <w:r w:rsidR="00C13BD2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00.00</w:t>
      </w:r>
      <w:r w:rsidR="00BC5A7C">
        <w:rPr>
          <w:rFonts w:ascii="Times New Roman" w:hAnsi="Times New Roman" w:cs="Times New Roman"/>
          <w:sz w:val="24"/>
          <w:szCs w:val="24"/>
        </w:rPr>
        <w:t>0,00</w:t>
      </w:r>
      <w:r>
        <w:rPr>
          <w:rFonts w:ascii="Times New Roman" w:hAnsi="Times New Roman" w:cs="Times New Roman"/>
          <w:sz w:val="24"/>
          <w:szCs w:val="24"/>
        </w:rPr>
        <w:t xml:space="preserve"> zł w roku 201</w:t>
      </w:r>
      <w:r w:rsidR="00C13BD2">
        <w:rPr>
          <w:rFonts w:ascii="Times New Roman" w:hAnsi="Times New Roman" w:cs="Times New Roman"/>
          <w:sz w:val="24"/>
          <w:szCs w:val="24"/>
        </w:rPr>
        <w:t>8</w:t>
      </w:r>
      <w:r w:rsidRPr="00A36821">
        <w:rPr>
          <w:rFonts w:ascii="Times New Roman" w:hAnsi="Times New Roman" w:cs="Times New Roman"/>
          <w:sz w:val="24"/>
          <w:szCs w:val="24"/>
        </w:rPr>
        <w:t>.</w:t>
      </w:r>
    </w:p>
    <w:p w:rsidR="00A827F1" w:rsidRPr="00DB2B89" w:rsidRDefault="00A65D8E" w:rsidP="00396F6F">
      <w:pPr>
        <w:pStyle w:val="Akapitzlist"/>
        <w:numPr>
          <w:ilvl w:val="0"/>
          <w:numId w:val="1"/>
        </w:numPr>
        <w:spacing w:after="0" w:line="360" w:lineRule="auto"/>
        <w:ind w:left="284" w:hanging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2B89">
        <w:rPr>
          <w:rFonts w:ascii="Times New Roman" w:hAnsi="Times New Roman" w:cs="Times New Roman"/>
          <w:b/>
          <w:sz w:val="24"/>
          <w:szCs w:val="24"/>
        </w:rPr>
        <w:t>Wynik budżetu</w:t>
      </w:r>
    </w:p>
    <w:p w:rsidR="00512FC8" w:rsidRDefault="00A65D8E" w:rsidP="00CC697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 xml:space="preserve">Wynik budżetu w prognozowanym okresie jest ściśle powiązany z przyjętymi założeniami do prognozy dochodów i wydatków. </w:t>
      </w:r>
      <w:r w:rsidR="00504B20" w:rsidRPr="00DB2B89">
        <w:rPr>
          <w:rFonts w:ascii="Times New Roman" w:hAnsi="Times New Roman" w:cs="Times New Roman"/>
          <w:sz w:val="24"/>
          <w:szCs w:val="24"/>
        </w:rPr>
        <w:t>Dla roku 201</w:t>
      </w:r>
      <w:r w:rsidR="00C13BD2">
        <w:rPr>
          <w:rFonts w:ascii="Times New Roman" w:hAnsi="Times New Roman" w:cs="Times New Roman"/>
          <w:sz w:val="24"/>
          <w:szCs w:val="24"/>
        </w:rPr>
        <w:t>8</w:t>
      </w:r>
      <w:r w:rsidR="00504B20" w:rsidRPr="00DB2B89">
        <w:rPr>
          <w:rFonts w:ascii="Times New Roman" w:hAnsi="Times New Roman" w:cs="Times New Roman"/>
          <w:sz w:val="24"/>
          <w:szCs w:val="24"/>
        </w:rPr>
        <w:t xml:space="preserve"> jest wynikiem </w:t>
      </w:r>
      <w:r w:rsidR="00B11488" w:rsidRPr="00DB2B89">
        <w:rPr>
          <w:rFonts w:ascii="Times New Roman" w:hAnsi="Times New Roman" w:cs="Times New Roman"/>
          <w:sz w:val="24"/>
          <w:szCs w:val="24"/>
        </w:rPr>
        <w:t>deficytowym, dla którego wskazano ź</w:t>
      </w:r>
      <w:r w:rsidR="00B221F9" w:rsidRPr="00DB2B89">
        <w:rPr>
          <w:rFonts w:ascii="Times New Roman" w:hAnsi="Times New Roman" w:cs="Times New Roman"/>
          <w:sz w:val="24"/>
          <w:szCs w:val="24"/>
        </w:rPr>
        <w:t xml:space="preserve">ródła finansowania. </w:t>
      </w:r>
      <w:r w:rsidR="00FF545E">
        <w:rPr>
          <w:rFonts w:ascii="Times New Roman" w:hAnsi="Times New Roman" w:cs="Times New Roman"/>
          <w:sz w:val="24"/>
          <w:szCs w:val="24"/>
        </w:rPr>
        <w:t>W roku 2019 zaplanowano nadwyżkę, która w znacznej mierze będzie stanowiła zabezpieczenie spłat zobowiązań kredytowych</w:t>
      </w:r>
      <w:r w:rsidR="00B53CC1">
        <w:rPr>
          <w:rFonts w:ascii="Times New Roman" w:hAnsi="Times New Roman" w:cs="Times New Roman"/>
          <w:sz w:val="24"/>
          <w:szCs w:val="24"/>
        </w:rPr>
        <w:t>.</w:t>
      </w:r>
      <w:r w:rsidR="00FF545E">
        <w:rPr>
          <w:rFonts w:ascii="Times New Roman" w:hAnsi="Times New Roman" w:cs="Times New Roman"/>
          <w:sz w:val="24"/>
          <w:szCs w:val="24"/>
        </w:rPr>
        <w:t xml:space="preserve"> </w:t>
      </w:r>
      <w:r w:rsidR="00BF14C2" w:rsidRPr="00DB2B89">
        <w:rPr>
          <w:rFonts w:ascii="Times New Roman" w:hAnsi="Times New Roman" w:cs="Times New Roman"/>
          <w:sz w:val="24"/>
          <w:szCs w:val="24"/>
        </w:rPr>
        <w:t>W latach 20</w:t>
      </w:r>
      <w:r w:rsidR="00FF545E">
        <w:rPr>
          <w:rFonts w:ascii="Times New Roman" w:hAnsi="Times New Roman" w:cs="Times New Roman"/>
          <w:sz w:val="24"/>
          <w:szCs w:val="24"/>
        </w:rPr>
        <w:t>20</w:t>
      </w:r>
      <w:r w:rsidR="003B18D6" w:rsidRPr="00DB2B89">
        <w:rPr>
          <w:rFonts w:ascii="Times New Roman" w:hAnsi="Times New Roman" w:cs="Times New Roman"/>
          <w:sz w:val="24"/>
          <w:szCs w:val="24"/>
        </w:rPr>
        <w:t>-</w:t>
      </w:r>
      <w:r w:rsidR="00CC6977">
        <w:rPr>
          <w:rFonts w:ascii="Times New Roman" w:hAnsi="Times New Roman" w:cs="Times New Roman"/>
          <w:sz w:val="24"/>
          <w:szCs w:val="24"/>
        </w:rPr>
        <w:t>2025</w:t>
      </w:r>
      <w:r w:rsidR="00B11488" w:rsidRPr="00DB2B89">
        <w:rPr>
          <w:rFonts w:ascii="Times New Roman" w:hAnsi="Times New Roman" w:cs="Times New Roman"/>
          <w:sz w:val="24"/>
          <w:szCs w:val="24"/>
        </w:rPr>
        <w:t xml:space="preserve"> </w:t>
      </w:r>
      <w:r w:rsidR="00FF545E">
        <w:rPr>
          <w:rFonts w:ascii="Times New Roman" w:hAnsi="Times New Roman" w:cs="Times New Roman"/>
          <w:sz w:val="24"/>
          <w:szCs w:val="24"/>
        </w:rPr>
        <w:t xml:space="preserve">całość </w:t>
      </w:r>
      <w:r w:rsidR="00B11488" w:rsidRPr="00DB2B89">
        <w:rPr>
          <w:rFonts w:ascii="Times New Roman" w:hAnsi="Times New Roman" w:cs="Times New Roman"/>
          <w:sz w:val="24"/>
          <w:szCs w:val="24"/>
        </w:rPr>
        <w:t>zabezpiecza planowane rozchody.</w:t>
      </w:r>
      <w:r w:rsidR="00BF14C2" w:rsidRPr="00DB2B8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65D8E" w:rsidRPr="00512FC8" w:rsidRDefault="00A65D8E" w:rsidP="00512FC8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2FC8">
        <w:rPr>
          <w:rFonts w:ascii="Times New Roman" w:hAnsi="Times New Roman" w:cs="Times New Roman"/>
          <w:b/>
          <w:sz w:val="24"/>
          <w:szCs w:val="24"/>
        </w:rPr>
        <w:t>Przychody</w:t>
      </w:r>
    </w:p>
    <w:p w:rsidR="007E76AB" w:rsidRDefault="007E76AB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 roku 201</w:t>
      </w:r>
      <w:r w:rsidR="00C13BD2"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 xml:space="preserve"> planuje się zaciągnąć kredyt</w:t>
      </w:r>
      <w:r w:rsidRPr="007E76AB">
        <w:rPr>
          <w:rFonts w:ascii="Times New Roman" w:hAnsi="Times New Roman" w:cs="Times New Roman"/>
          <w:sz w:val="24"/>
          <w:szCs w:val="24"/>
        </w:rPr>
        <w:t xml:space="preserve"> w kwocie </w:t>
      </w:r>
      <w:r w:rsidR="00793915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.</w:t>
      </w:r>
      <w:r w:rsidR="00793915">
        <w:rPr>
          <w:rFonts w:ascii="Times New Roman" w:hAnsi="Times New Roman" w:cs="Times New Roman"/>
          <w:sz w:val="24"/>
          <w:szCs w:val="24"/>
        </w:rPr>
        <w:t>500.</w:t>
      </w:r>
      <w:r>
        <w:rPr>
          <w:rFonts w:ascii="Times New Roman" w:hAnsi="Times New Roman" w:cs="Times New Roman"/>
          <w:sz w:val="24"/>
          <w:szCs w:val="24"/>
        </w:rPr>
        <w:t>000</w:t>
      </w:r>
      <w:r w:rsidR="00434487">
        <w:rPr>
          <w:rFonts w:ascii="Times New Roman" w:hAnsi="Times New Roman" w:cs="Times New Roman"/>
          <w:sz w:val="24"/>
          <w:szCs w:val="24"/>
        </w:rPr>
        <w:t>,00 zł</w:t>
      </w:r>
      <w:r w:rsidR="00793915">
        <w:rPr>
          <w:rFonts w:ascii="Times New Roman" w:hAnsi="Times New Roman" w:cs="Times New Roman"/>
          <w:sz w:val="24"/>
          <w:szCs w:val="24"/>
        </w:rPr>
        <w:t xml:space="preserve"> spłacany w 7</w:t>
      </w:r>
      <w:r>
        <w:rPr>
          <w:rFonts w:ascii="Times New Roman" w:hAnsi="Times New Roman" w:cs="Times New Roman"/>
          <w:sz w:val="24"/>
          <w:szCs w:val="24"/>
        </w:rPr>
        <w:t xml:space="preserve"> ratach</w:t>
      </w:r>
      <w:r w:rsidR="00FF545E">
        <w:rPr>
          <w:rFonts w:ascii="Times New Roman" w:hAnsi="Times New Roman" w:cs="Times New Roman"/>
          <w:sz w:val="24"/>
          <w:szCs w:val="24"/>
        </w:rPr>
        <w:t>,</w:t>
      </w:r>
      <w:r w:rsidR="00793915">
        <w:rPr>
          <w:rFonts w:ascii="Times New Roman" w:hAnsi="Times New Roman" w:cs="Times New Roman"/>
          <w:sz w:val="24"/>
          <w:szCs w:val="24"/>
        </w:rPr>
        <w:t xml:space="preserve"> </w:t>
      </w:r>
      <w:r w:rsidR="004040DE">
        <w:rPr>
          <w:rFonts w:ascii="Times New Roman" w:hAnsi="Times New Roman" w:cs="Times New Roman"/>
          <w:sz w:val="24"/>
          <w:szCs w:val="24"/>
        </w:rPr>
        <w:t xml:space="preserve">   </w:t>
      </w:r>
      <w:r w:rsidR="00793915">
        <w:rPr>
          <w:rFonts w:ascii="Times New Roman" w:hAnsi="Times New Roman" w:cs="Times New Roman"/>
          <w:sz w:val="24"/>
          <w:szCs w:val="24"/>
        </w:rPr>
        <w:t>po 937.000,00</w:t>
      </w:r>
      <w:r w:rsidR="00FE752F">
        <w:rPr>
          <w:rFonts w:ascii="Times New Roman" w:hAnsi="Times New Roman" w:cs="Times New Roman"/>
          <w:sz w:val="24"/>
          <w:szCs w:val="24"/>
        </w:rPr>
        <w:t xml:space="preserve"> zł</w:t>
      </w:r>
      <w:r w:rsidR="00B2415C">
        <w:rPr>
          <w:rFonts w:ascii="Times New Roman" w:hAnsi="Times New Roman" w:cs="Times New Roman"/>
          <w:sz w:val="24"/>
          <w:szCs w:val="24"/>
        </w:rPr>
        <w:t xml:space="preserve"> rocznie</w:t>
      </w:r>
      <w:r w:rsidR="00FE752F">
        <w:rPr>
          <w:rFonts w:ascii="Times New Roman" w:hAnsi="Times New Roman" w:cs="Times New Roman"/>
          <w:sz w:val="24"/>
          <w:szCs w:val="24"/>
        </w:rPr>
        <w:t xml:space="preserve"> </w:t>
      </w:r>
      <w:r w:rsidR="00793915">
        <w:rPr>
          <w:rFonts w:ascii="Times New Roman" w:hAnsi="Times New Roman" w:cs="Times New Roman"/>
          <w:sz w:val="24"/>
          <w:szCs w:val="24"/>
        </w:rPr>
        <w:t>w latach 2019-2021 oraz po 1.172.250,00</w:t>
      </w:r>
      <w:r w:rsidR="004035D5">
        <w:rPr>
          <w:rFonts w:ascii="Times New Roman" w:hAnsi="Times New Roman" w:cs="Times New Roman"/>
          <w:sz w:val="24"/>
          <w:szCs w:val="24"/>
        </w:rPr>
        <w:t xml:space="preserve"> rocznie w latach 2022-2025</w:t>
      </w:r>
      <w:r w:rsidR="00FE752F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Dodatkowo w roku 201</w:t>
      </w:r>
      <w:r w:rsidR="004035D5">
        <w:rPr>
          <w:rFonts w:ascii="Times New Roman" w:hAnsi="Times New Roman" w:cs="Times New Roman"/>
          <w:sz w:val="24"/>
          <w:szCs w:val="24"/>
        </w:rPr>
        <w:t>9 ujęto wykorzystanie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C3392">
        <w:rPr>
          <w:rFonts w:ascii="Times New Roman" w:hAnsi="Times New Roman" w:cs="Times New Roman"/>
          <w:sz w:val="24"/>
          <w:szCs w:val="24"/>
        </w:rPr>
        <w:t>wolnych środków jako nadwyżki na rachunku bieżącym budżetu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C3392">
        <w:rPr>
          <w:rFonts w:ascii="Times New Roman" w:hAnsi="Times New Roman" w:cs="Times New Roman"/>
          <w:sz w:val="24"/>
          <w:szCs w:val="24"/>
        </w:rPr>
        <w:t xml:space="preserve">w kwocie </w:t>
      </w:r>
      <w:r w:rsidR="004035D5">
        <w:rPr>
          <w:rFonts w:ascii="Times New Roman" w:hAnsi="Times New Roman" w:cs="Times New Roman"/>
          <w:sz w:val="24"/>
          <w:szCs w:val="24"/>
        </w:rPr>
        <w:t>79.046,19</w:t>
      </w:r>
      <w:r w:rsidR="00FF545E">
        <w:rPr>
          <w:rFonts w:ascii="Times New Roman" w:hAnsi="Times New Roman" w:cs="Times New Roman"/>
          <w:sz w:val="24"/>
          <w:szCs w:val="24"/>
        </w:rPr>
        <w:t xml:space="preserve"> zł.</w:t>
      </w:r>
    </w:p>
    <w:p w:rsidR="00512647" w:rsidRPr="00635EFC" w:rsidRDefault="000506EA" w:rsidP="00635EFC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35EFC">
        <w:rPr>
          <w:rFonts w:ascii="Times New Roman" w:hAnsi="Times New Roman" w:cs="Times New Roman"/>
          <w:b/>
          <w:sz w:val="24"/>
          <w:szCs w:val="24"/>
        </w:rPr>
        <w:t>Rozchody</w:t>
      </w:r>
    </w:p>
    <w:p w:rsidR="00635EFC" w:rsidRDefault="000506EA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 xml:space="preserve">Po stronie rozchodów w prognozowanym okresie przyjęto tylko przepływy związane </w:t>
      </w:r>
      <w:r w:rsidR="00E94D39">
        <w:rPr>
          <w:rFonts w:ascii="Times New Roman" w:hAnsi="Times New Roman" w:cs="Times New Roman"/>
          <w:sz w:val="24"/>
          <w:szCs w:val="24"/>
        </w:rPr>
        <w:t xml:space="preserve">                        </w:t>
      </w:r>
      <w:r w:rsidRPr="00DB2B89">
        <w:rPr>
          <w:rFonts w:ascii="Times New Roman" w:hAnsi="Times New Roman" w:cs="Times New Roman"/>
          <w:sz w:val="24"/>
          <w:szCs w:val="24"/>
        </w:rPr>
        <w:t xml:space="preserve">ze spłatą rat kapitałowych zaciągniętych </w:t>
      </w:r>
      <w:r w:rsidR="007E76AB">
        <w:rPr>
          <w:rFonts w:ascii="Times New Roman" w:hAnsi="Times New Roman" w:cs="Times New Roman"/>
          <w:sz w:val="24"/>
          <w:szCs w:val="24"/>
        </w:rPr>
        <w:t xml:space="preserve">i planowanych do zaciągnięcia </w:t>
      </w:r>
      <w:r w:rsidRPr="00DB2B89">
        <w:rPr>
          <w:rFonts w:ascii="Times New Roman" w:hAnsi="Times New Roman" w:cs="Times New Roman"/>
          <w:sz w:val="24"/>
          <w:szCs w:val="24"/>
        </w:rPr>
        <w:t xml:space="preserve">kredytów. </w:t>
      </w:r>
    </w:p>
    <w:p w:rsidR="00A827F1" w:rsidRDefault="00FF545E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 latach 2019</w:t>
      </w:r>
      <w:r w:rsidR="00635EFC">
        <w:rPr>
          <w:rFonts w:ascii="Times New Roman" w:hAnsi="Times New Roman" w:cs="Times New Roman"/>
          <w:sz w:val="24"/>
          <w:szCs w:val="24"/>
        </w:rPr>
        <w:t xml:space="preserve">-2021 raty kapitałowe do spłaty wyniosą po 2.099.500,00 zł rocznie, natomiast w kolejnych latach po 1.834.750,00 zł. </w:t>
      </w:r>
      <w:r w:rsidR="000506EA" w:rsidRPr="00DB2B89">
        <w:rPr>
          <w:rFonts w:ascii="Times New Roman" w:hAnsi="Times New Roman" w:cs="Times New Roman"/>
          <w:sz w:val="24"/>
          <w:szCs w:val="24"/>
        </w:rPr>
        <w:t>Ostatnie raty kapitał</w:t>
      </w:r>
      <w:r w:rsidR="007E76AB">
        <w:rPr>
          <w:rFonts w:ascii="Times New Roman" w:hAnsi="Times New Roman" w:cs="Times New Roman"/>
          <w:sz w:val="24"/>
          <w:szCs w:val="24"/>
        </w:rPr>
        <w:t>owe zostaną spłacone w roku 2025</w:t>
      </w:r>
      <w:r w:rsidR="000506EA" w:rsidRPr="00DB2B89">
        <w:rPr>
          <w:rFonts w:ascii="Times New Roman" w:hAnsi="Times New Roman" w:cs="Times New Roman"/>
          <w:sz w:val="24"/>
          <w:szCs w:val="24"/>
        </w:rPr>
        <w:t>.</w:t>
      </w:r>
      <w:r w:rsidR="00635EF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B50D2" w:rsidRPr="00DB2B89" w:rsidRDefault="000B50D2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30AAE882" wp14:editId="27A69294">
            <wp:extent cx="5762625" cy="2743200"/>
            <wp:effectExtent l="0" t="0" r="0" b="0"/>
            <wp:docPr id="3" name="Wykres 3">
              <a:extLst xmlns:a="http://schemas.openxmlformats.org/drawingml/2006/main">
                <a:ext uri="{FF2B5EF4-FFF2-40B4-BE49-F238E27FC236}">
                  <a16:creationId xmlns:a16="http://schemas.microsoft.com/office/drawing/2014/main" id="{00696588-145C-4D09-9945-D39771892F8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D94A14" w:rsidRDefault="00D94A14" w:rsidP="00512FC8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F69EA" w:rsidRDefault="000F69EA" w:rsidP="00512FC8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F69EA" w:rsidRDefault="000F69EA" w:rsidP="00512FC8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304231" w:rsidRPr="00702651" w:rsidRDefault="00512FC8" w:rsidP="00304231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35EFC">
        <w:rPr>
          <w:rFonts w:ascii="Times New Roman" w:hAnsi="Times New Roman" w:cs="Times New Roman"/>
          <w:b/>
          <w:sz w:val="24"/>
          <w:szCs w:val="24"/>
        </w:rPr>
        <w:lastRenderedPageBreak/>
        <w:t>Prognoza kwoty długu</w:t>
      </w:r>
    </w:p>
    <w:p w:rsidR="00304231" w:rsidRPr="00304231" w:rsidRDefault="00B548B8" w:rsidP="00304231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Prognozę kwoty długu sporządzono</w:t>
      </w:r>
      <w:r w:rsidR="00304231" w:rsidRPr="00304231">
        <w:rPr>
          <w:rFonts w:ascii="Times New Roman" w:hAnsi="Times New Roman" w:cs="Times New Roman"/>
          <w:sz w:val="24"/>
          <w:szCs w:val="24"/>
        </w:rPr>
        <w:t xml:space="preserve"> się na okres, na który zaciągnięto oraz planuje się zaciągnąć zobowiązania.</w:t>
      </w:r>
      <w:r w:rsidR="003D09E7">
        <w:rPr>
          <w:rFonts w:ascii="Times New Roman" w:hAnsi="Times New Roman" w:cs="Times New Roman"/>
          <w:sz w:val="24"/>
          <w:szCs w:val="24"/>
        </w:rPr>
        <w:t xml:space="preserve"> O</w:t>
      </w:r>
      <w:r w:rsidR="003D09E7" w:rsidRPr="003D09E7">
        <w:rPr>
          <w:rFonts w:ascii="Times New Roman" w:hAnsi="Times New Roman" w:cs="Times New Roman"/>
          <w:sz w:val="24"/>
          <w:szCs w:val="24"/>
        </w:rPr>
        <w:t>kreśla</w:t>
      </w:r>
      <w:r w:rsidR="003D09E7">
        <w:rPr>
          <w:rFonts w:ascii="Times New Roman" w:hAnsi="Times New Roman" w:cs="Times New Roman"/>
          <w:sz w:val="24"/>
          <w:szCs w:val="24"/>
        </w:rPr>
        <w:t xml:space="preserve"> ona</w:t>
      </w:r>
      <w:r w:rsidR="003D09E7" w:rsidRPr="003D09E7">
        <w:rPr>
          <w:rFonts w:ascii="Times New Roman" w:hAnsi="Times New Roman" w:cs="Times New Roman"/>
          <w:sz w:val="24"/>
          <w:szCs w:val="24"/>
        </w:rPr>
        <w:t xml:space="preserve"> wysokości długu JST w </w:t>
      </w:r>
      <w:r w:rsidR="003D09E7">
        <w:rPr>
          <w:rFonts w:ascii="Times New Roman" w:hAnsi="Times New Roman" w:cs="Times New Roman"/>
          <w:sz w:val="24"/>
          <w:szCs w:val="24"/>
        </w:rPr>
        <w:t xml:space="preserve">poszczególnych </w:t>
      </w:r>
      <w:r w:rsidR="003D09E7" w:rsidRPr="003D09E7">
        <w:rPr>
          <w:rFonts w:ascii="Times New Roman" w:hAnsi="Times New Roman" w:cs="Times New Roman"/>
          <w:sz w:val="24"/>
          <w:szCs w:val="24"/>
        </w:rPr>
        <w:t xml:space="preserve">latach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512FC8" w:rsidRDefault="00512FC8" w:rsidP="00512FC8">
      <w:pPr>
        <w:pStyle w:val="Akapitzlist"/>
        <w:spacing w:after="0" w:line="360" w:lineRule="auto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3FDA2DB6" wp14:editId="30186999">
            <wp:extent cx="5276850" cy="2743200"/>
            <wp:effectExtent l="0" t="0" r="0" b="0"/>
            <wp:docPr id="4" name="Wykres 4">
              <a:extLst xmlns:a="http://schemas.openxmlformats.org/drawingml/2006/main">
                <a:ext uri="{FF2B5EF4-FFF2-40B4-BE49-F238E27FC236}">
                  <a16:creationId xmlns:a16="http://schemas.microsoft.com/office/drawing/2014/main" id="{A112B8B1-C92B-4271-9421-D3ABC1867E0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2475B4" w:rsidRPr="00635EFC" w:rsidRDefault="00CA1C7E" w:rsidP="00635EFC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35EFC">
        <w:rPr>
          <w:rFonts w:ascii="Times New Roman" w:hAnsi="Times New Roman" w:cs="Times New Roman"/>
          <w:b/>
          <w:sz w:val="24"/>
          <w:szCs w:val="24"/>
        </w:rPr>
        <w:t>Relacja z art. 243 u</w:t>
      </w:r>
      <w:r w:rsidR="00512647" w:rsidRPr="00635EFC">
        <w:rPr>
          <w:rFonts w:ascii="Times New Roman" w:hAnsi="Times New Roman" w:cs="Times New Roman"/>
          <w:b/>
          <w:sz w:val="24"/>
          <w:szCs w:val="24"/>
        </w:rPr>
        <w:t>stawy</w:t>
      </w:r>
    </w:p>
    <w:p w:rsidR="004356AE" w:rsidRPr="00702651" w:rsidRDefault="006741F4" w:rsidP="00995CE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Przy wykonaniu obliczeń dla</w:t>
      </w:r>
      <w:r w:rsidR="00910C81" w:rsidRPr="00DB2B89">
        <w:rPr>
          <w:rFonts w:ascii="Times New Roman" w:hAnsi="Times New Roman" w:cs="Times New Roman"/>
          <w:sz w:val="24"/>
          <w:szCs w:val="24"/>
        </w:rPr>
        <w:t xml:space="preserve"> relacji określonej w art. 243 u</w:t>
      </w:r>
      <w:r w:rsidRPr="00DB2B89">
        <w:rPr>
          <w:rFonts w:ascii="Times New Roman" w:hAnsi="Times New Roman" w:cs="Times New Roman"/>
          <w:sz w:val="24"/>
          <w:szCs w:val="24"/>
        </w:rPr>
        <w:t xml:space="preserve">stawy z dnia 27 sierpnia 2009 r. </w:t>
      </w:r>
      <w:r w:rsidR="00DE37DC" w:rsidRPr="00DB2B89"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Pr="00DB2B89">
        <w:rPr>
          <w:rFonts w:ascii="Times New Roman" w:hAnsi="Times New Roman" w:cs="Times New Roman"/>
          <w:sz w:val="24"/>
          <w:szCs w:val="24"/>
        </w:rPr>
        <w:t>o finansach publicznych</w:t>
      </w:r>
      <w:r w:rsidR="00910C81" w:rsidRPr="00DB2B89">
        <w:rPr>
          <w:rFonts w:ascii="Times New Roman" w:hAnsi="Times New Roman" w:cs="Times New Roman"/>
          <w:sz w:val="24"/>
          <w:szCs w:val="24"/>
        </w:rPr>
        <w:t>,</w:t>
      </w:r>
      <w:r w:rsidRPr="00DB2B89">
        <w:rPr>
          <w:rFonts w:ascii="Times New Roman" w:hAnsi="Times New Roman" w:cs="Times New Roman"/>
          <w:sz w:val="24"/>
          <w:szCs w:val="24"/>
        </w:rPr>
        <w:t xml:space="preserve"> w prognozie przyjęto dane z wykonania budżetu za lata 20</w:t>
      </w:r>
      <w:r w:rsidR="00910C81" w:rsidRPr="00DB2B89">
        <w:rPr>
          <w:rFonts w:ascii="Times New Roman" w:hAnsi="Times New Roman" w:cs="Times New Roman"/>
          <w:sz w:val="24"/>
          <w:szCs w:val="24"/>
        </w:rPr>
        <w:t>1</w:t>
      </w:r>
      <w:r w:rsidR="00AE3A88">
        <w:rPr>
          <w:rFonts w:ascii="Times New Roman" w:hAnsi="Times New Roman" w:cs="Times New Roman"/>
          <w:sz w:val="24"/>
          <w:szCs w:val="24"/>
        </w:rPr>
        <w:t>5</w:t>
      </w:r>
      <w:r w:rsidR="00504B20" w:rsidRPr="00DB2B89">
        <w:rPr>
          <w:rFonts w:ascii="Times New Roman" w:hAnsi="Times New Roman" w:cs="Times New Roman"/>
          <w:sz w:val="24"/>
          <w:szCs w:val="24"/>
        </w:rPr>
        <w:t>-201</w:t>
      </w:r>
      <w:r w:rsidR="00AE3A88">
        <w:rPr>
          <w:rFonts w:ascii="Times New Roman" w:hAnsi="Times New Roman" w:cs="Times New Roman"/>
          <w:sz w:val="24"/>
          <w:szCs w:val="24"/>
        </w:rPr>
        <w:t>6</w:t>
      </w:r>
      <w:r w:rsidR="00995CE5">
        <w:rPr>
          <w:rFonts w:ascii="Times New Roman" w:hAnsi="Times New Roman" w:cs="Times New Roman"/>
          <w:sz w:val="24"/>
          <w:szCs w:val="24"/>
        </w:rPr>
        <w:t xml:space="preserve"> </w:t>
      </w:r>
      <w:r w:rsidR="00504B20" w:rsidRPr="00DB2B89">
        <w:rPr>
          <w:rFonts w:ascii="Times New Roman" w:hAnsi="Times New Roman" w:cs="Times New Roman"/>
          <w:sz w:val="24"/>
          <w:szCs w:val="24"/>
        </w:rPr>
        <w:t>oraz plan z III kwartału 201</w:t>
      </w:r>
      <w:r w:rsidR="00AE3A88">
        <w:rPr>
          <w:rFonts w:ascii="Times New Roman" w:hAnsi="Times New Roman" w:cs="Times New Roman"/>
          <w:sz w:val="24"/>
          <w:szCs w:val="24"/>
        </w:rPr>
        <w:t>7</w:t>
      </w:r>
      <w:r w:rsidR="00DE37DC" w:rsidRPr="00DB2B89">
        <w:rPr>
          <w:rFonts w:ascii="Times New Roman" w:hAnsi="Times New Roman" w:cs="Times New Roman"/>
          <w:sz w:val="24"/>
          <w:szCs w:val="24"/>
        </w:rPr>
        <w:t xml:space="preserve"> </w:t>
      </w:r>
      <w:r w:rsidR="00910C81" w:rsidRPr="00DB2B89">
        <w:rPr>
          <w:rFonts w:ascii="Times New Roman" w:hAnsi="Times New Roman" w:cs="Times New Roman"/>
          <w:sz w:val="24"/>
          <w:szCs w:val="24"/>
        </w:rPr>
        <w:t>r.</w:t>
      </w:r>
      <w:r w:rsidRPr="00DB2B89">
        <w:rPr>
          <w:rFonts w:ascii="Times New Roman" w:hAnsi="Times New Roman" w:cs="Times New Roman"/>
          <w:sz w:val="24"/>
          <w:szCs w:val="24"/>
        </w:rPr>
        <w:t xml:space="preserve"> Po przeliczeniu wszystkich danych, przyjęte w prognozie założenia zapewniają spełnienie wymogów </w:t>
      </w:r>
      <w:r w:rsidR="00FF590A">
        <w:rPr>
          <w:rFonts w:ascii="Times New Roman" w:hAnsi="Times New Roman" w:cs="Times New Roman"/>
          <w:sz w:val="24"/>
          <w:szCs w:val="24"/>
        </w:rPr>
        <w:t>u</w:t>
      </w:r>
      <w:r w:rsidRPr="00DB2B89">
        <w:rPr>
          <w:rFonts w:ascii="Times New Roman" w:hAnsi="Times New Roman" w:cs="Times New Roman"/>
          <w:sz w:val="24"/>
          <w:szCs w:val="24"/>
        </w:rPr>
        <w:t>stawy odnośnie relacji obsługi zadłużenia. Zrealizowanie dochodów i wydatków budżetu zgodnie z założeniami przyjętymi w prognozie pozwoli na spełnienie wymogów prawnych dotyczącyc</w:t>
      </w:r>
      <w:r w:rsidR="00504B20" w:rsidRPr="00DB2B89">
        <w:rPr>
          <w:rFonts w:ascii="Times New Roman" w:hAnsi="Times New Roman" w:cs="Times New Roman"/>
          <w:sz w:val="24"/>
          <w:szCs w:val="24"/>
        </w:rPr>
        <w:t>h obsługi zadłużenia</w:t>
      </w:r>
      <w:r w:rsidR="00BF14C2" w:rsidRPr="00DB2B89">
        <w:rPr>
          <w:rFonts w:ascii="Times New Roman" w:hAnsi="Times New Roman" w:cs="Times New Roman"/>
          <w:sz w:val="24"/>
          <w:szCs w:val="24"/>
        </w:rPr>
        <w:t xml:space="preserve"> w latach </w:t>
      </w:r>
      <w:r w:rsidR="00DB2B89" w:rsidRPr="00DB2B89">
        <w:rPr>
          <w:rFonts w:ascii="Times New Roman" w:hAnsi="Times New Roman" w:cs="Times New Roman"/>
          <w:sz w:val="24"/>
          <w:szCs w:val="24"/>
        </w:rPr>
        <w:t xml:space="preserve">                  </w:t>
      </w:r>
      <w:r w:rsidR="00995CE5">
        <w:rPr>
          <w:rFonts w:ascii="Times New Roman" w:hAnsi="Times New Roman" w:cs="Times New Roman"/>
          <w:sz w:val="24"/>
          <w:szCs w:val="24"/>
        </w:rPr>
        <w:t>201</w:t>
      </w:r>
      <w:r w:rsidR="00AE3A88">
        <w:rPr>
          <w:rFonts w:ascii="Times New Roman" w:hAnsi="Times New Roman" w:cs="Times New Roman"/>
          <w:sz w:val="24"/>
          <w:szCs w:val="24"/>
        </w:rPr>
        <w:t>8</w:t>
      </w:r>
      <w:r w:rsidR="00DB2B89" w:rsidRPr="00DB2B89">
        <w:rPr>
          <w:rFonts w:ascii="Times New Roman" w:hAnsi="Times New Roman" w:cs="Times New Roman"/>
          <w:sz w:val="24"/>
          <w:szCs w:val="24"/>
        </w:rPr>
        <w:t>-</w:t>
      </w:r>
      <w:r w:rsidR="00995CE5">
        <w:rPr>
          <w:rFonts w:ascii="Times New Roman" w:hAnsi="Times New Roman" w:cs="Times New Roman"/>
          <w:sz w:val="24"/>
          <w:szCs w:val="24"/>
        </w:rPr>
        <w:t>2025</w:t>
      </w:r>
      <w:r w:rsidR="00BF14C2" w:rsidRPr="00DB2B89">
        <w:rPr>
          <w:rFonts w:ascii="Times New Roman" w:hAnsi="Times New Roman" w:cs="Times New Roman"/>
          <w:sz w:val="24"/>
          <w:szCs w:val="24"/>
        </w:rPr>
        <w:t>.</w:t>
      </w:r>
    </w:p>
    <w:p w:rsidR="00A827F1" w:rsidRPr="00635EFC" w:rsidRDefault="00CA1C7E" w:rsidP="00635EFC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35EFC">
        <w:rPr>
          <w:rFonts w:ascii="Times New Roman" w:hAnsi="Times New Roman" w:cs="Times New Roman"/>
          <w:b/>
          <w:sz w:val="24"/>
          <w:szCs w:val="24"/>
        </w:rPr>
        <w:t>Wymogi art. 244 u</w:t>
      </w:r>
      <w:r w:rsidR="00864FEF" w:rsidRPr="00635EFC">
        <w:rPr>
          <w:rFonts w:ascii="Times New Roman" w:hAnsi="Times New Roman" w:cs="Times New Roman"/>
          <w:b/>
          <w:sz w:val="24"/>
          <w:szCs w:val="24"/>
        </w:rPr>
        <w:t>stawy</w:t>
      </w:r>
    </w:p>
    <w:p w:rsidR="00356E1B" w:rsidRPr="00DB2B89" w:rsidRDefault="00864FEF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Zgodnie z treścią tego artykułu, do łącznej kwoty przypadających w danym roku budżetowym spłat zobowiązań dodaje się przypadające do spłaty kwoty zobowiązań związku współtworzonego przez JST</w:t>
      </w:r>
      <w:r w:rsidR="005D0DCA" w:rsidRPr="00DB2B89">
        <w:rPr>
          <w:rFonts w:ascii="Times New Roman" w:hAnsi="Times New Roman" w:cs="Times New Roman"/>
          <w:sz w:val="24"/>
          <w:szCs w:val="24"/>
        </w:rPr>
        <w:t>,</w:t>
      </w:r>
      <w:r w:rsidRPr="00DB2B89">
        <w:rPr>
          <w:rFonts w:ascii="Times New Roman" w:hAnsi="Times New Roman" w:cs="Times New Roman"/>
          <w:sz w:val="24"/>
          <w:szCs w:val="24"/>
        </w:rPr>
        <w:t xml:space="preserve"> w wysokości proporcjonalnej do udziału we wpłatach wnoszonych na rzecz związku. </w:t>
      </w:r>
      <w:r w:rsidR="00910C81" w:rsidRPr="00DB2B89">
        <w:rPr>
          <w:rFonts w:ascii="Times New Roman" w:hAnsi="Times New Roman" w:cs="Times New Roman"/>
          <w:sz w:val="24"/>
          <w:szCs w:val="24"/>
        </w:rPr>
        <w:t>W</w:t>
      </w:r>
      <w:r w:rsidRPr="00DB2B89">
        <w:rPr>
          <w:rFonts w:ascii="Times New Roman" w:hAnsi="Times New Roman" w:cs="Times New Roman"/>
          <w:sz w:val="24"/>
          <w:szCs w:val="24"/>
        </w:rPr>
        <w:t xml:space="preserve">ykazano wielkości zobowiązań Ekologicznego Związku Gmin </w:t>
      </w:r>
      <w:r w:rsidR="00E03EEA">
        <w:rPr>
          <w:rFonts w:ascii="Times New Roman" w:hAnsi="Times New Roman" w:cs="Times New Roman"/>
          <w:sz w:val="24"/>
          <w:szCs w:val="24"/>
        </w:rPr>
        <w:t>„</w:t>
      </w:r>
      <w:proofErr w:type="spellStart"/>
      <w:r w:rsidRPr="00DB2B89">
        <w:rPr>
          <w:rFonts w:ascii="Times New Roman" w:hAnsi="Times New Roman" w:cs="Times New Roman"/>
          <w:sz w:val="24"/>
          <w:szCs w:val="24"/>
        </w:rPr>
        <w:t>Działdowszczyzna</w:t>
      </w:r>
      <w:proofErr w:type="spellEnd"/>
      <w:r w:rsidR="00E03EEA">
        <w:rPr>
          <w:rFonts w:ascii="Times New Roman" w:hAnsi="Times New Roman" w:cs="Times New Roman"/>
          <w:sz w:val="24"/>
          <w:szCs w:val="24"/>
        </w:rPr>
        <w:t>”</w:t>
      </w:r>
      <w:r w:rsidRPr="00DB2B89">
        <w:rPr>
          <w:rFonts w:ascii="Times New Roman" w:hAnsi="Times New Roman" w:cs="Times New Roman"/>
          <w:sz w:val="24"/>
          <w:szCs w:val="24"/>
        </w:rPr>
        <w:t xml:space="preserve"> przypadających Miastu wg informacji uzyskanych ze Związku </w:t>
      </w:r>
      <w:r w:rsidR="005E0ED1" w:rsidRPr="00DB2B89">
        <w:rPr>
          <w:rFonts w:ascii="Times New Roman" w:hAnsi="Times New Roman" w:cs="Times New Roman"/>
          <w:sz w:val="24"/>
          <w:szCs w:val="24"/>
        </w:rPr>
        <w:t xml:space="preserve">                          </w:t>
      </w:r>
      <w:r w:rsidRPr="00DB2B89">
        <w:rPr>
          <w:rFonts w:ascii="Times New Roman" w:hAnsi="Times New Roman" w:cs="Times New Roman"/>
          <w:sz w:val="24"/>
          <w:szCs w:val="24"/>
        </w:rPr>
        <w:t xml:space="preserve">i </w:t>
      </w:r>
      <w:r w:rsidR="00680815" w:rsidRPr="00DB2B89">
        <w:rPr>
          <w:rFonts w:ascii="Times New Roman" w:hAnsi="Times New Roman" w:cs="Times New Roman"/>
          <w:sz w:val="24"/>
          <w:szCs w:val="24"/>
        </w:rPr>
        <w:t xml:space="preserve">doliczono </w:t>
      </w:r>
      <w:r w:rsidR="00FF66A0" w:rsidRPr="00DB2B89">
        <w:rPr>
          <w:rFonts w:ascii="Times New Roman" w:hAnsi="Times New Roman" w:cs="Times New Roman"/>
          <w:sz w:val="24"/>
          <w:szCs w:val="24"/>
        </w:rPr>
        <w:t xml:space="preserve"> </w:t>
      </w:r>
      <w:r w:rsidR="00680815" w:rsidRPr="00DB2B89">
        <w:rPr>
          <w:rFonts w:ascii="Times New Roman" w:hAnsi="Times New Roman" w:cs="Times New Roman"/>
          <w:sz w:val="24"/>
          <w:szCs w:val="24"/>
        </w:rPr>
        <w:t>je</w:t>
      </w:r>
      <w:r w:rsidR="00CA1C7E" w:rsidRPr="00DB2B89">
        <w:rPr>
          <w:rFonts w:ascii="Times New Roman" w:hAnsi="Times New Roman" w:cs="Times New Roman"/>
          <w:sz w:val="24"/>
          <w:szCs w:val="24"/>
        </w:rPr>
        <w:t xml:space="preserve"> </w:t>
      </w:r>
      <w:r w:rsidR="00E03EEA">
        <w:rPr>
          <w:rFonts w:ascii="Times New Roman" w:hAnsi="Times New Roman" w:cs="Times New Roman"/>
          <w:sz w:val="24"/>
          <w:szCs w:val="24"/>
        </w:rPr>
        <w:t>do łącznej kwoty spłat miasta</w:t>
      </w:r>
      <w:r w:rsidR="005E0ED1" w:rsidRPr="00DB2B89">
        <w:rPr>
          <w:rFonts w:ascii="Times New Roman" w:hAnsi="Times New Roman" w:cs="Times New Roman"/>
          <w:sz w:val="24"/>
          <w:szCs w:val="24"/>
        </w:rPr>
        <w:t xml:space="preserve"> do roku 202</w:t>
      </w:r>
      <w:r w:rsidR="00114CA1">
        <w:rPr>
          <w:rFonts w:ascii="Times New Roman" w:hAnsi="Times New Roman" w:cs="Times New Roman"/>
          <w:sz w:val="24"/>
          <w:szCs w:val="24"/>
        </w:rPr>
        <w:t>2</w:t>
      </w:r>
      <w:r w:rsidR="00680815" w:rsidRPr="00DB2B89">
        <w:rPr>
          <w:rFonts w:ascii="Times New Roman" w:hAnsi="Times New Roman" w:cs="Times New Roman"/>
          <w:sz w:val="24"/>
          <w:szCs w:val="24"/>
        </w:rPr>
        <w:t xml:space="preserve">, zgodnie z </w:t>
      </w:r>
      <w:r w:rsidR="00E03EEA">
        <w:rPr>
          <w:rFonts w:ascii="Times New Roman" w:hAnsi="Times New Roman" w:cs="Times New Roman"/>
          <w:sz w:val="24"/>
          <w:szCs w:val="24"/>
        </w:rPr>
        <w:t>okresem wykazanym przez</w:t>
      </w:r>
      <w:r w:rsidR="00680815" w:rsidRPr="00DB2B89">
        <w:rPr>
          <w:rFonts w:ascii="Times New Roman" w:hAnsi="Times New Roman" w:cs="Times New Roman"/>
          <w:sz w:val="24"/>
          <w:szCs w:val="24"/>
        </w:rPr>
        <w:t xml:space="preserve"> EZG</w:t>
      </w:r>
      <w:r w:rsidR="00F775F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775FD">
        <w:rPr>
          <w:rFonts w:ascii="Times New Roman" w:hAnsi="Times New Roman" w:cs="Times New Roman"/>
          <w:sz w:val="24"/>
          <w:szCs w:val="24"/>
        </w:rPr>
        <w:t>Działdowszczyzna</w:t>
      </w:r>
      <w:proofErr w:type="spellEnd"/>
      <w:r w:rsidR="00680815" w:rsidRPr="00DB2B89">
        <w:rPr>
          <w:rFonts w:ascii="Times New Roman" w:hAnsi="Times New Roman" w:cs="Times New Roman"/>
          <w:sz w:val="24"/>
          <w:szCs w:val="24"/>
        </w:rPr>
        <w:t>.</w:t>
      </w:r>
    </w:p>
    <w:p w:rsidR="00910C81" w:rsidRDefault="00910C81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2B89">
        <w:rPr>
          <w:rFonts w:ascii="Times New Roman" w:hAnsi="Times New Roman" w:cs="Times New Roman"/>
          <w:sz w:val="24"/>
          <w:szCs w:val="24"/>
        </w:rPr>
        <w:t>Wskaźnik spłaty zobowiązań wynikając</w:t>
      </w:r>
      <w:r w:rsidR="007862B0" w:rsidRPr="00DB2B89">
        <w:rPr>
          <w:rFonts w:ascii="Times New Roman" w:hAnsi="Times New Roman" w:cs="Times New Roman"/>
          <w:sz w:val="24"/>
          <w:szCs w:val="24"/>
        </w:rPr>
        <w:t>y</w:t>
      </w:r>
      <w:r w:rsidRPr="00DB2B89">
        <w:rPr>
          <w:rFonts w:ascii="Times New Roman" w:hAnsi="Times New Roman" w:cs="Times New Roman"/>
          <w:sz w:val="24"/>
          <w:szCs w:val="24"/>
        </w:rPr>
        <w:t xml:space="preserve"> z art. 243 z uwzględnieniem art.</w:t>
      </w:r>
      <w:r w:rsidR="00546DC7" w:rsidRPr="00DB2B89">
        <w:rPr>
          <w:rFonts w:ascii="Times New Roman" w:hAnsi="Times New Roman" w:cs="Times New Roman"/>
          <w:sz w:val="24"/>
          <w:szCs w:val="24"/>
        </w:rPr>
        <w:t xml:space="preserve"> 244 jest spełniony we wszystkich latach objętych prognozą.</w:t>
      </w:r>
    </w:p>
    <w:p w:rsidR="005A6802" w:rsidRDefault="005A6802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EE0B5D8" wp14:editId="7DACFD33">
            <wp:extent cx="5962650" cy="3009900"/>
            <wp:effectExtent l="0" t="0" r="0" b="0"/>
            <wp:docPr id="8" name="Wykres 8">
              <a:extLst xmlns:a="http://schemas.openxmlformats.org/drawingml/2006/main">
                <a:ext uri="{FF2B5EF4-FFF2-40B4-BE49-F238E27FC236}">
                  <a16:creationId xmlns:a16="http://schemas.microsoft.com/office/drawing/2014/main" id="{F17F54AE-E60D-4D35-9D76-C6E43AA0FFC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603A69" w:rsidRDefault="00603A69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E3A88" w:rsidRDefault="00AE3A88" w:rsidP="00396F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E3A88" w:rsidRPr="00DB2B89" w:rsidRDefault="00AE3A88" w:rsidP="00396F6F">
      <w:pPr>
        <w:spacing w:after="0" w:line="360" w:lineRule="auto"/>
        <w:jc w:val="both"/>
        <w:rPr>
          <w:rFonts w:ascii="Times New Roman" w:hAnsi="Times New Roman" w:cs="Times New Roman"/>
        </w:rPr>
      </w:pPr>
    </w:p>
    <w:sectPr w:rsidR="00AE3A88" w:rsidRPr="00DB2B89" w:rsidSect="006125D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60FF0" w:rsidRDefault="00660FF0" w:rsidP="00400EB7">
      <w:pPr>
        <w:spacing w:after="0" w:line="240" w:lineRule="auto"/>
      </w:pPr>
      <w:r>
        <w:separator/>
      </w:r>
    </w:p>
  </w:endnote>
  <w:endnote w:type="continuationSeparator" w:id="0">
    <w:p w:rsidR="00660FF0" w:rsidRDefault="00660FF0" w:rsidP="00400E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00EB7" w:rsidRDefault="00400EB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13290345"/>
      <w:docPartObj>
        <w:docPartGallery w:val="Page Numbers (Bottom of Page)"/>
        <w:docPartUnique/>
      </w:docPartObj>
    </w:sdtPr>
    <w:sdtEndPr/>
    <w:sdtContent>
      <w:p w:rsidR="00400EB7" w:rsidRDefault="00400EB7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F69EA">
          <w:rPr>
            <w:noProof/>
          </w:rPr>
          <w:t>4</w:t>
        </w:r>
        <w:r>
          <w:fldChar w:fldCharType="end"/>
        </w:r>
      </w:p>
    </w:sdtContent>
  </w:sdt>
  <w:p w:rsidR="00400EB7" w:rsidRDefault="00400EB7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00EB7" w:rsidRDefault="00400EB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60FF0" w:rsidRDefault="00660FF0" w:rsidP="00400EB7">
      <w:pPr>
        <w:spacing w:after="0" w:line="240" w:lineRule="auto"/>
      </w:pPr>
      <w:r>
        <w:separator/>
      </w:r>
    </w:p>
  </w:footnote>
  <w:footnote w:type="continuationSeparator" w:id="0">
    <w:p w:rsidR="00660FF0" w:rsidRDefault="00660FF0" w:rsidP="00400EB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00EB7" w:rsidRDefault="00400EB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00EB7" w:rsidRDefault="00400EB7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00EB7" w:rsidRDefault="00400EB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97227B"/>
    <w:multiLevelType w:val="hybridMultilevel"/>
    <w:tmpl w:val="0C1E26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F34CE2"/>
    <w:multiLevelType w:val="hybridMultilevel"/>
    <w:tmpl w:val="BD4462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42E51C7"/>
    <w:multiLevelType w:val="hybridMultilevel"/>
    <w:tmpl w:val="F286ABD4"/>
    <w:lvl w:ilvl="0" w:tplc="0415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EA40686"/>
    <w:multiLevelType w:val="hybridMultilevel"/>
    <w:tmpl w:val="753CEE8A"/>
    <w:lvl w:ilvl="0" w:tplc="0415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EF86A5E"/>
    <w:multiLevelType w:val="hybridMultilevel"/>
    <w:tmpl w:val="31D2C5F4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" w15:restartNumberingAfterBreak="0">
    <w:nsid w:val="7B886B8D"/>
    <w:multiLevelType w:val="hybridMultilevel"/>
    <w:tmpl w:val="C69CCA3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4"/>
  </w:num>
  <w:num w:numId="5">
    <w:abstractNumId w:val="2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A7E57"/>
    <w:rsid w:val="000479C3"/>
    <w:rsid w:val="000506EA"/>
    <w:rsid w:val="00084B6C"/>
    <w:rsid w:val="000B50D2"/>
    <w:rsid w:val="000D07BB"/>
    <w:rsid w:val="000E3DF6"/>
    <w:rsid w:val="000F69EA"/>
    <w:rsid w:val="00114CA1"/>
    <w:rsid w:val="00147175"/>
    <w:rsid w:val="001501E0"/>
    <w:rsid w:val="001845F5"/>
    <w:rsid w:val="00186875"/>
    <w:rsid w:val="00186EDE"/>
    <w:rsid w:val="00195876"/>
    <w:rsid w:val="001A7FD6"/>
    <w:rsid w:val="001E2699"/>
    <w:rsid w:val="002475B4"/>
    <w:rsid w:val="002531BF"/>
    <w:rsid w:val="002A3CC2"/>
    <w:rsid w:val="002A4CAC"/>
    <w:rsid w:val="002C05F7"/>
    <w:rsid w:val="002E6776"/>
    <w:rsid w:val="00304231"/>
    <w:rsid w:val="0030781D"/>
    <w:rsid w:val="003119A0"/>
    <w:rsid w:val="00320658"/>
    <w:rsid w:val="00320A1F"/>
    <w:rsid w:val="00323BA6"/>
    <w:rsid w:val="00353465"/>
    <w:rsid w:val="00356E1B"/>
    <w:rsid w:val="00363BF6"/>
    <w:rsid w:val="00384AD1"/>
    <w:rsid w:val="00390628"/>
    <w:rsid w:val="00396F6F"/>
    <w:rsid w:val="003B18D6"/>
    <w:rsid w:val="003B4157"/>
    <w:rsid w:val="003B4849"/>
    <w:rsid w:val="003C1D2D"/>
    <w:rsid w:val="003C4343"/>
    <w:rsid w:val="003D09E7"/>
    <w:rsid w:val="003E43D3"/>
    <w:rsid w:val="003E6FB0"/>
    <w:rsid w:val="003F43EE"/>
    <w:rsid w:val="00400EB7"/>
    <w:rsid w:val="004035D5"/>
    <w:rsid w:val="004040DE"/>
    <w:rsid w:val="00434487"/>
    <w:rsid w:val="004356AE"/>
    <w:rsid w:val="00485C33"/>
    <w:rsid w:val="004C1632"/>
    <w:rsid w:val="004C4A3F"/>
    <w:rsid w:val="004D518C"/>
    <w:rsid w:val="004D78FB"/>
    <w:rsid w:val="00500297"/>
    <w:rsid w:val="00504B20"/>
    <w:rsid w:val="00512647"/>
    <w:rsid w:val="00512FC8"/>
    <w:rsid w:val="005147BE"/>
    <w:rsid w:val="005352B1"/>
    <w:rsid w:val="00535DE2"/>
    <w:rsid w:val="00541412"/>
    <w:rsid w:val="00546DC7"/>
    <w:rsid w:val="005A6802"/>
    <w:rsid w:val="005C2665"/>
    <w:rsid w:val="005D0DCA"/>
    <w:rsid w:val="005E0ED1"/>
    <w:rsid w:val="005F5E03"/>
    <w:rsid w:val="00603A69"/>
    <w:rsid w:val="006125D9"/>
    <w:rsid w:val="00635EFC"/>
    <w:rsid w:val="00660FF0"/>
    <w:rsid w:val="00662C4F"/>
    <w:rsid w:val="0067228D"/>
    <w:rsid w:val="006741F4"/>
    <w:rsid w:val="00680815"/>
    <w:rsid w:val="00681B02"/>
    <w:rsid w:val="00690ECD"/>
    <w:rsid w:val="006A360D"/>
    <w:rsid w:val="006B195C"/>
    <w:rsid w:val="006B6F03"/>
    <w:rsid w:val="00702651"/>
    <w:rsid w:val="007145F0"/>
    <w:rsid w:val="00727F00"/>
    <w:rsid w:val="00744BD1"/>
    <w:rsid w:val="00752548"/>
    <w:rsid w:val="007848DC"/>
    <w:rsid w:val="007862B0"/>
    <w:rsid w:val="00793915"/>
    <w:rsid w:val="007E3CE1"/>
    <w:rsid w:val="007E76AB"/>
    <w:rsid w:val="008121F2"/>
    <w:rsid w:val="008177A1"/>
    <w:rsid w:val="00864FEF"/>
    <w:rsid w:val="00865DD6"/>
    <w:rsid w:val="008B06B1"/>
    <w:rsid w:val="008C62CB"/>
    <w:rsid w:val="008F7225"/>
    <w:rsid w:val="00910C81"/>
    <w:rsid w:val="00932D92"/>
    <w:rsid w:val="00963A33"/>
    <w:rsid w:val="00995CE5"/>
    <w:rsid w:val="009A72E8"/>
    <w:rsid w:val="009B5B7D"/>
    <w:rsid w:val="009B7A70"/>
    <w:rsid w:val="009C3392"/>
    <w:rsid w:val="009C35DC"/>
    <w:rsid w:val="009C638B"/>
    <w:rsid w:val="009D352B"/>
    <w:rsid w:val="009F5CD8"/>
    <w:rsid w:val="00A17835"/>
    <w:rsid w:val="00A36821"/>
    <w:rsid w:val="00A65D8E"/>
    <w:rsid w:val="00A827F1"/>
    <w:rsid w:val="00A8486E"/>
    <w:rsid w:val="00AA7E57"/>
    <w:rsid w:val="00AC42B8"/>
    <w:rsid w:val="00AE3A88"/>
    <w:rsid w:val="00AF10F2"/>
    <w:rsid w:val="00AF322C"/>
    <w:rsid w:val="00AF51B2"/>
    <w:rsid w:val="00B11488"/>
    <w:rsid w:val="00B16436"/>
    <w:rsid w:val="00B221F9"/>
    <w:rsid w:val="00B227C6"/>
    <w:rsid w:val="00B2415C"/>
    <w:rsid w:val="00B46281"/>
    <w:rsid w:val="00B53CC1"/>
    <w:rsid w:val="00B548B8"/>
    <w:rsid w:val="00B70ACB"/>
    <w:rsid w:val="00B7733C"/>
    <w:rsid w:val="00BC5A7C"/>
    <w:rsid w:val="00BD7262"/>
    <w:rsid w:val="00BE69E7"/>
    <w:rsid w:val="00BF14C2"/>
    <w:rsid w:val="00C13BD2"/>
    <w:rsid w:val="00C22CFE"/>
    <w:rsid w:val="00C247DC"/>
    <w:rsid w:val="00CA0CE4"/>
    <w:rsid w:val="00CA1C7E"/>
    <w:rsid w:val="00CA57A2"/>
    <w:rsid w:val="00CA6ABA"/>
    <w:rsid w:val="00CC6977"/>
    <w:rsid w:val="00CD2274"/>
    <w:rsid w:val="00CD37DE"/>
    <w:rsid w:val="00D40197"/>
    <w:rsid w:val="00D76352"/>
    <w:rsid w:val="00D94A14"/>
    <w:rsid w:val="00DB2407"/>
    <w:rsid w:val="00DB2B89"/>
    <w:rsid w:val="00DE37DC"/>
    <w:rsid w:val="00E031D0"/>
    <w:rsid w:val="00E03EEA"/>
    <w:rsid w:val="00E24C2E"/>
    <w:rsid w:val="00E446CB"/>
    <w:rsid w:val="00E730E8"/>
    <w:rsid w:val="00E776D6"/>
    <w:rsid w:val="00E83B38"/>
    <w:rsid w:val="00E94CC4"/>
    <w:rsid w:val="00E94D39"/>
    <w:rsid w:val="00E97A12"/>
    <w:rsid w:val="00ED459D"/>
    <w:rsid w:val="00ED78D9"/>
    <w:rsid w:val="00EF3709"/>
    <w:rsid w:val="00F252C7"/>
    <w:rsid w:val="00F64175"/>
    <w:rsid w:val="00F775FD"/>
    <w:rsid w:val="00F85BAB"/>
    <w:rsid w:val="00F945BA"/>
    <w:rsid w:val="00FD6691"/>
    <w:rsid w:val="00FE03F2"/>
    <w:rsid w:val="00FE752F"/>
    <w:rsid w:val="00FF3C33"/>
    <w:rsid w:val="00FF545E"/>
    <w:rsid w:val="00FF590A"/>
    <w:rsid w:val="00FF66A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A649D4"/>
  <w15:docId w15:val="{79F52B1C-9EE9-489B-9B76-0C56E51AF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D7262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AA7E57"/>
    <w:pPr>
      <w:ind w:left="720"/>
      <w:contextualSpacing/>
    </w:pPr>
  </w:style>
  <w:style w:type="table" w:styleId="Siatkatabeli">
    <w:name w:val="Table Grid"/>
    <w:basedOn w:val="Standardowy"/>
    <w:uiPriority w:val="59"/>
    <w:rsid w:val="001E26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827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827F1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400EB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00EB7"/>
  </w:style>
  <w:style w:type="paragraph" w:styleId="Stopka">
    <w:name w:val="footer"/>
    <w:basedOn w:val="Normalny"/>
    <w:link w:val="StopkaZnak"/>
    <w:uiPriority w:val="99"/>
    <w:unhideWhenUsed/>
    <w:rsid w:val="00400EB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00E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hart" Target="charts/chart5.xm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4.xm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chart" Target="charts/chart3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header" Target="header2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stacked"/>
        <c:varyColors val="0"/>
        <c:ser>
          <c:idx val="0"/>
          <c:order val="0"/>
          <c:tx>
            <c:strRef>
              <c:f>Zał.1_WPF_bazowy!$C$11</c:f>
              <c:strCache>
                <c:ptCount val="1"/>
                <c:pt idx="0">
                  <c:v> Dochody bieżące</c:v>
                </c:pt>
              </c:strCache>
            </c:strRef>
          </c:tx>
          <c:invertIfNegative val="0"/>
          <c:cat>
            <c:numRef>
              <c:f>Zał.1_WPF_bazowy!$I$9:$R$9</c:f>
              <c:numCache>
                <c:formatCode>0</c:formatCode>
                <c:ptCount val="8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  <c:pt idx="6">
                  <c:v>2024</c:v>
                </c:pt>
                <c:pt idx="7">
                  <c:v>2025</c:v>
                </c:pt>
              </c:numCache>
            </c:numRef>
          </c:cat>
          <c:val>
            <c:numRef>
              <c:f>Zał.1_WPF_bazowy!$I$11:$R$11</c:f>
              <c:numCache>
                <c:formatCode>#,##0.00_ ;[Red]\-#,##0.00\ </c:formatCode>
                <c:ptCount val="8"/>
                <c:pt idx="0">
                  <c:v>75130929</c:v>
                </c:pt>
                <c:pt idx="1">
                  <c:v>76925989</c:v>
                </c:pt>
                <c:pt idx="2">
                  <c:v>78868520</c:v>
                </c:pt>
                <c:pt idx="3">
                  <c:v>80828331</c:v>
                </c:pt>
                <c:pt idx="4">
                  <c:v>80828331</c:v>
                </c:pt>
                <c:pt idx="5">
                  <c:v>80828331</c:v>
                </c:pt>
                <c:pt idx="6">
                  <c:v>80828331</c:v>
                </c:pt>
                <c:pt idx="7">
                  <c:v>80828331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EAD-40D5-B17E-B7CACC7CE73C}"/>
            </c:ext>
          </c:extLst>
        </c:ser>
        <c:ser>
          <c:idx val="1"/>
          <c:order val="1"/>
          <c:tx>
            <c:strRef>
              <c:f>Zał.1_WPF_bazowy!$C$18</c:f>
              <c:strCache>
                <c:ptCount val="1"/>
                <c:pt idx="0">
                  <c:v>  Dochody majątkowe</c:v>
                </c:pt>
              </c:strCache>
            </c:strRef>
          </c:tx>
          <c:invertIfNegative val="0"/>
          <c:cat>
            <c:numRef>
              <c:f>Zał.1_WPF_bazowy!$I$9:$R$9</c:f>
              <c:numCache>
                <c:formatCode>0</c:formatCode>
                <c:ptCount val="8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  <c:pt idx="6">
                  <c:v>2024</c:v>
                </c:pt>
                <c:pt idx="7">
                  <c:v>2025</c:v>
                </c:pt>
              </c:numCache>
            </c:numRef>
          </c:cat>
          <c:val>
            <c:numRef>
              <c:f>Zał.1_WPF_bazowy!$I$18:$R$18</c:f>
              <c:numCache>
                <c:formatCode>#,##0.00_ ;[Red]\-#,##0.00\ </c:formatCode>
                <c:ptCount val="8"/>
                <c:pt idx="0">
                  <c:v>12577357</c:v>
                </c:pt>
                <c:pt idx="1">
                  <c:v>6070176</c:v>
                </c:pt>
                <c:pt idx="2">
                  <c:v>913676</c:v>
                </c:pt>
                <c:pt idx="3">
                  <c:v>929676</c:v>
                </c:pt>
                <c:pt idx="4">
                  <c:v>1416383</c:v>
                </c:pt>
                <c:pt idx="5">
                  <c:v>823856</c:v>
                </c:pt>
                <c:pt idx="6">
                  <c:v>800620</c:v>
                </c:pt>
                <c:pt idx="7">
                  <c:v>818048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EAD-40D5-B17E-B7CACC7CE73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349794464"/>
        <c:axId val="1"/>
      </c:barChart>
      <c:catAx>
        <c:axId val="349794464"/>
        <c:scaling>
          <c:orientation val="minMax"/>
        </c:scaling>
        <c:delete val="0"/>
        <c:axPos val="b"/>
        <c:numFmt formatCode="0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pl-PL"/>
          </a:p>
        </c:txPr>
        <c:crossAx val="1"/>
        <c:crosses val="autoZero"/>
        <c:auto val="1"/>
        <c:lblAlgn val="ctr"/>
        <c:lblOffset val="100"/>
        <c:noMultiLvlLbl val="0"/>
      </c:catAx>
      <c:valAx>
        <c:axId val="1"/>
        <c:scaling>
          <c:orientation val="minMax"/>
        </c:scaling>
        <c:delete val="0"/>
        <c:axPos val="l"/>
        <c:majorGridlines/>
        <c:numFmt formatCode="#,##0_ ;[Red]\-#,##0\ " sourceLinked="0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pl-PL"/>
          </a:p>
        </c:txPr>
        <c:crossAx val="349794464"/>
        <c:crosses val="autoZero"/>
        <c:crossBetween val="between"/>
        <c:dispUnits>
          <c:builtInUnit val="thousands"/>
          <c:dispUnitsLbl>
            <c:txPr>
              <a:bodyPr rot="-5400000" vert="horz"/>
              <a:lstStyle/>
              <a:p>
                <a:pPr algn="ctr">
                  <a:defRPr sz="100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pl-PL"/>
              </a:p>
            </c:txPr>
          </c:dispUnitsLbl>
        </c:dispUnits>
      </c:valAx>
    </c:plotArea>
    <c:legend>
      <c:legendPos val="t"/>
      <c:overlay val="0"/>
      <c:txPr>
        <a:bodyPr/>
        <a:lstStyle/>
        <a:p>
          <a:pPr>
            <a:defRPr sz="775" b="0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pl-PL"/>
        </a:p>
      </c:txPr>
    </c:legend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stacked"/>
        <c:varyColors val="0"/>
        <c:ser>
          <c:idx val="0"/>
          <c:order val="0"/>
          <c:tx>
            <c:strRef>
              <c:f>Zał.1_WPF_bazowy!$C$22</c:f>
              <c:strCache>
                <c:ptCount val="1"/>
                <c:pt idx="0">
                  <c:v> Wydatki bieżące</c:v>
                </c:pt>
              </c:strCache>
            </c:strRef>
          </c:tx>
          <c:invertIfNegative val="0"/>
          <c:cat>
            <c:numRef>
              <c:f>Zał.1_WPF_bazowy!$I$9:$R$9</c:f>
              <c:numCache>
                <c:formatCode>0</c:formatCode>
                <c:ptCount val="8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  <c:pt idx="6">
                  <c:v>2024</c:v>
                </c:pt>
                <c:pt idx="7">
                  <c:v>2025</c:v>
                </c:pt>
              </c:numCache>
            </c:numRef>
          </c:cat>
          <c:val>
            <c:numRef>
              <c:f>Zał.1_WPF_bazowy!$I$22:$R$22</c:f>
              <c:numCache>
                <c:formatCode>#,##0.00_ ;[Red]\-#,##0.00\ </c:formatCode>
                <c:ptCount val="8"/>
                <c:pt idx="0">
                  <c:v>73008618</c:v>
                </c:pt>
                <c:pt idx="1">
                  <c:v>74202641.189999998</c:v>
                </c:pt>
                <c:pt idx="2">
                  <c:v>75983716</c:v>
                </c:pt>
                <c:pt idx="3">
                  <c:v>77672297</c:v>
                </c:pt>
                <c:pt idx="4">
                  <c:v>77853867</c:v>
                </c:pt>
                <c:pt idx="5">
                  <c:v>77802967</c:v>
                </c:pt>
                <c:pt idx="6">
                  <c:v>77752267</c:v>
                </c:pt>
                <c:pt idx="7">
                  <c:v>77702267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960-4AB5-8FDC-9DA11B6A053D}"/>
            </c:ext>
          </c:extLst>
        </c:ser>
        <c:ser>
          <c:idx val="1"/>
          <c:order val="1"/>
          <c:tx>
            <c:strRef>
              <c:f>Zał.1_WPF_bazowy!$C$30</c:f>
              <c:strCache>
                <c:ptCount val="1"/>
                <c:pt idx="0">
                  <c:v> Wydatki majątkowe</c:v>
                </c:pt>
              </c:strCache>
            </c:strRef>
          </c:tx>
          <c:invertIfNegative val="0"/>
          <c:cat>
            <c:numRef>
              <c:f>Zał.1_WPF_bazowy!$I$9:$R$9</c:f>
              <c:numCache>
                <c:formatCode>0</c:formatCode>
                <c:ptCount val="8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  <c:pt idx="6">
                  <c:v>2024</c:v>
                </c:pt>
                <c:pt idx="7">
                  <c:v>2025</c:v>
                </c:pt>
              </c:numCache>
            </c:numRef>
          </c:cat>
          <c:val>
            <c:numRef>
              <c:f>Zał.1_WPF_bazowy!$I$30:$R$30</c:f>
              <c:numCache>
                <c:formatCode>#,##0.00_ ;[Red]\-#,##0.00\ </c:formatCode>
                <c:ptCount val="8"/>
                <c:pt idx="0">
                  <c:v>24923630</c:v>
                </c:pt>
                <c:pt idx="1">
                  <c:v>5974570</c:v>
                </c:pt>
                <c:pt idx="2">
                  <c:v>1698980</c:v>
                </c:pt>
                <c:pt idx="3">
                  <c:v>1986210</c:v>
                </c:pt>
                <c:pt idx="4">
                  <c:v>2556097</c:v>
                </c:pt>
                <c:pt idx="5">
                  <c:v>2014470</c:v>
                </c:pt>
                <c:pt idx="6">
                  <c:v>2041934</c:v>
                </c:pt>
                <c:pt idx="7">
                  <c:v>2109362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960-4AB5-8FDC-9DA11B6A053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315605520"/>
        <c:axId val="1"/>
      </c:barChart>
      <c:catAx>
        <c:axId val="315605520"/>
        <c:scaling>
          <c:orientation val="minMax"/>
        </c:scaling>
        <c:delete val="0"/>
        <c:axPos val="b"/>
        <c:numFmt formatCode="0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pl-PL"/>
          </a:p>
        </c:txPr>
        <c:crossAx val="1"/>
        <c:crosses val="autoZero"/>
        <c:auto val="1"/>
        <c:lblAlgn val="ctr"/>
        <c:lblOffset val="100"/>
        <c:noMultiLvlLbl val="0"/>
      </c:catAx>
      <c:valAx>
        <c:axId val="1"/>
        <c:scaling>
          <c:orientation val="minMax"/>
        </c:scaling>
        <c:delete val="0"/>
        <c:axPos val="l"/>
        <c:majorGridlines/>
        <c:numFmt formatCode="#,##0_ ;[Red]\-#,##0\ " sourceLinked="0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pl-PL"/>
          </a:p>
        </c:txPr>
        <c:crossAx val="315605520"/>
        <c:crosses val="autoZero"/>
        <c:crossBetween val="between"/>
        <c:dispUnits>
          <c:builtInUnit val="thousands"/>
          <c:dispUnitsLbl>
            <c:txPr>
              <a:bodyPr rot="-5400000" vert="horz"/>
              <a:lstStyle/>
              <a:p>
                <a:pPr algn="ctr">
                  <a:defRPr sz="100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pl-PL"/>
              </a:p>
            </c:txPr>
          </c:dispUnitsLbl>
        </c:dispUnits>
      </c:valAx>
    </c:plotArea>
    <c:legend>
      <c:legendPos val="t"/>
      <c:overlay val="0"/>
      <c:txPr>
        <a:bodyPr/>
        <a:lstStyle/>
        <a:p>
          <a:pPr>
            <a:defRPr sz="775" b="0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pl-PL"/>
        </a:p>
      </c:txPr>
    </c:legend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stacked"/>
        <c:varyColors val="0"/>
        <c:ser>
          <c:idx val="2"/>
          <c:order val="1"/>
          <c:tx>
            <c:strRef>
              <c:f>Zał.1_WPF_bazowy!$C$42</c:f>
              <c:strCache>
                <c:ptCount val="1"/>
                <c:pt idx="0">
                  <c:v> Spłaty rat kapitałowych kredytów i pożyczek oraz wykup papierów wartościowych</c:v>
                </c:pt>
              </c:strCache>
            </c:strRef>
          </c:tx>
          <c:invertIfNegative val="0"/>
          <c:cat>
            <c:numRef>
              <c:f>Zał.1_WPF_bazowy!$I$9:$R$9</c:f>
              <c:numCache>
                <c:formatCode>0</c:formatCode>
                <c:ptCount val="8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  <c:pt idx="6">
                  <c:v>2024</c:v>
                </c:pt>
                <c:pt idx="7">
                  <c:v>2025</c:v>
                </c:pt>
              </c:numCache>
            </c:numRef>
          </c:cat>
          <c:val>
            <c:numRef>
              <c:f>Zał.1_WPF_bazowy!$I$42:$R$42</c:f>
              <c:numCache>
                <c:formatCode>#,##0.00_ ;[Red]\-#,##0.00\ </c:formatCode>
                <c:ptCount val="8"/>
                <c:pt idx="0">
                  <c:v>1162500</c:v>
                </c:pt>
                <c:pt idx="1">
                  <c:v>2099500</c:v>
                </c:pt>
                <c:pt idx="2">
                  <c:v>2099500</c:v>
                </c:pt>
                <c:pt idx="3">
                  <c:v>2099500</c:v>
                </c:pt>
                <c:pt idx="4">
                  <c:v>1834750</c:v>
                </c:pt>
                <c:pt idx="5">
                  <c:v>1834750</c:v>
                </c:pt>
                <c:pt idx="6">
                  <c:v>1834750</c:v>
                </c:pt>
                <c:pt idx="7">
                  <c:v>1834750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0C7-43A4-8657-A8D6FA52D810}"/>
            </c:ext>
          </c:extLst>
        </c:ser>
        <c:ser>
          <c:idx val="0"/>
          <c:order val="2"/>
          <c:tx>
            <c:strRef>
              <c:f>Zał.1_WPF_bazowy!$C$30</c:f>
              <c:strCache>
                <c:ptCount val="1"/>
                <c:pt idx="0">
                  <c:v> Wydatki majątkowe</c:v>
                </c:pt>
              </c:strCache>
            </c:strRef>
          </c:tx>
          <c:invertIfNegative val="0"/>
          <c:cat>
            <c:numRef>
              <c:f>Zał.1_WPF_bazowy!$I$9:$R$9</c:f>
              <c:numCache>
                <c:formatCode>0</c:formatCode>
                <c:ptCount val="8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  <c:pt idx="6">
                  <c:v>2024</c:v>
                </c:pt>
                <c:pt idx="7">
                  <c:v>2025</c:v>
                </c:pt>
              </c:numCache>
            </c:numRef>
          </c:cat>
          <c:val>
            <c:numRef>
              <c:f>Zał.1_WPF_bazowy!$I$30:$R$30</c:f>
              <c:numCache>
                <c:formatCode>#,##0.00_ ;[Red]\-#,##0.00\ </c:formatCode>
                <c:ptCount val="8"/>
                <c:pt idx="0">
                  <c:v>24923630</c:v>
                </c:pt>
                <c:pt idx="1">
                  <c:v>5974570</c:v>
                </c:pt>
                <c:pt idx="2">
                  <c:v>1698980</c:v>
                </c:pt>
                <c:pt idx="3">
                  <c:v>1986210</c:v>
                </c:pt>
                <c:pt idx="4">
                  <c:v>2556097</c:v>
                </c:pt>
                <c:pt idx="5">
                  <c:v>2014470</c:v>
                </c:pt>
                <c:pt idx="6">
                  <c:v>2041934</c:v>
                </c:pt>
                <c:pt idx="7">
                  <c:v>2109362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0C7-43A4-8657-A8D6FA52D81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309364344"/>
        <c:axId val="1"/>
      </c:barChart>
      <c:lineChart>
        <c:grouping val="standard"/>
        <c:varyColors val="0"/>
        <c:ser>
          <c:idx val="1"/>
          <c:order val="0"/>
          <c:tx>
            <c:strRef>
              <c:f>Zał.1_WPF_bazowy!$C$51</c:f>
              <c:strCache>
                <c:ptCount val="1"/>
                <c:pt idx="0">
                  <c:v> Różnica między dochodami bieżącymi a  wydatkami bieżącymi</c:v>
                </c:pt>
              </c:strCache>
            </c:strRef>
          </c:tx>
          <c:marker>
            <c:symbol val="none"/>
          </c:marker>
          <c:cat>
            <c:numRef>
              <c:f>Zał.1_WPF_bazowy!$I$9:$S$9</c:f>
              <c:numCache>
                <c:formatCode>0</c:formatCode>
                <c:ptCount val="9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  <c:pt idx="6">
                  <c:v>2024</c:v>
                </c:pt>
                <c:pt idx="7">
                  <c:v>2025</c:v>
                </c:pt>
                <c:pt idx="8">
                  <c:v>2028</c:v>
                </c:pt>
              </c:numCache>
            </c:numRef>
          </c:cat>
          <c:val>
            <c:numRef>
              <c:f>Zał.1_WPF_bazowy!$I$51:$R$51</c:f>
              <c:numCache>
                <c:formatCode>#,##0.00_ ;[Red]\-#,##0.00\ </c:formatCode>
                <c:ptCount val="8"/>
                <c:pt idx="0">
                  <c:v>2122311</c:v>
                </c:pt>
                <c:pt idx="1">
                  <c:v>2723347.81</c:v>
                </c:pt>
                <c:pt idx="2">
                  <c:v>2884804</c:v>
                </c:pt>
                <c:pt idx="3">
                  <c:v>3156034</c:v>
                </c:pt>
                <c:pt idx="4">
                  <c:v>2974464</c:v>
                </c:pt>
                <c:pt idx="5">
                  <c:v>3025364</c:v>
                </c:pt>
                <c:pt idx="6">
                  <c:v>3076064</c:v>
                </c:pt>
                <c:pt idx="7">
                  <c:v>3126064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50C7-43A4-8657-A8D6FA52D81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309364344"/>
        <c:axId val="1"/>
      </c:lineChart>
      <c:catAx>
        <c:axId val="309364344"/>
        <c:scaling>
          <c:orientation val="minMax"/>
        </c:scaling>
        <c:delete val="0"/>
        <c:axPos val="b"/>
        <c:numFmt formatCode="0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pl-PL"/>
          </a:p>
        </c:txPr>
        <c:crossAx val="1"/>
        <c:crosses val="autoZero"/>
        <c:auto val="1"/>
        <c:lblAlgn val="ctr"/>
        <c:lblOffset val="100"/>
        <c:noMultiLvlLbl val="0"/>
      </c:catAx>
      <c:valAx>
        <c:axId val="1"/>
        <c:scaling>
          <c:orientation val="minMax"/>
        </c:scaling>
        <c:delete val="0"/>
        <c:axPos val="l"/>
        <c:majorGridlines/>
        <c:numFmt formatCode="#,##0_ ;[Red]\-#,##0\ " sourceLinked="0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pl-PL"/>
          </a:p>
        </c:txPr>
        <c:crossAx val="309364344"/>
        <c:crosses val="autoZero"/>
        <c:crossBetween val="between"/>
        <c:dispUnits>
          <c:builtInUnit val="thousands"/>
          <c:dispUnitsLbl>
            <c:txPr>
              <a:bodyPr rot="-5400000" vert="horz"/>
              <a:lstStyle/>
              <a:p>
                <a:pPr algn="ctr">
                  <a:defRPr sz="100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pl-PL"/>
              </a:p>
            </c:txPr>
          </c:dispUnitsLbl>
        </c:dispUnits>
      </c:valAx>
    </c:plotArea>
    <c:legend>
      <c:legendPos val="t"/>
      <c:overlay val="0"/>
      <c:txPr>
        <a:bodyPr/>
        <a:lstStyle/>
        <a:p>
          <a:pPr>
            <a:defRPr sz="775" b="0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pl-PL"/>
        </a:p>
      </c:txPr>
    </c:legend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lineChart>
        <c:grouping val="standard"/>
        <c:varyColors val="0"/>
        <c:ser>
          <c:idx val="2"/>
          <c:order val="0"/>
          <c:tx>
            <c:strRef>
              <c:f>Zał.1_WPF_bazowy!$C$48</c:f>
              <c:strCache>
                <c:ptCount val="1"/>
                <c:pt idx="0">
                  <c:v>Kwota długu</c:v>
                </c:pt>
              </c:strCache>
            </c:strRef>
          </c:tx>
          <c:marker>
            <c:symbol val="none"/>
          </c:marker>
          <c:cat>
            <c:numRef>
              <c:f>Zał.1_WPF_bazowy!$I$9:$R$9</c:f>
              <c:numCache>
                <c:formatCode>0</c:formatCode>
                <c:ptCount val="8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  <c:pt idx="6">
                  <c:v>2024</c:v>
                </c:pt>
                <c:pt idx="7">
                  <c:v>2025</c:v>
                </c:pt>
              </c:numCache>
            </c:numRef>
          </c:cat>
          <c:val>
            <c:numRef>
              <c:f>Zał.1_WPF_bazowy!$I$48:$R$48</c:f>
              <c:numCache>
                <c:formatCode>#,##0.00_ ;[Red]\-#,##0.00\ </c:formatCode>
                <c:ptCount val="8"/>
                <c:pt idx="0">
                  <c:v>13637500</c:v>
                </c:pt>
                <c:pt idx="1">
                  <c:v>11538000</c:v>
                </c:pt>
                <c:pt idx="2">
                  <c:v>9438500</c:v>
                </c:pt>
                <c:pt idx="3">
                  <c:v>7339000</c:v>
                </c:pt>
                <c:pt idx="4">
                  <c:v>5504250</c:v>
                </c:pt>
                <c:pt idx="5">
                  <c:v>3669500</c:v>
                </c:pt>
                <c:pt idx="6">
                  <c:v>1834750</c:v>
                </c:pt>
                <c:pt idx="7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B82D-45D2-9CA6-B698D67C87BA}"/>
            </c:ext>
          </c:extLst>
        </c:ser>
        <c:ser>
          <c:idx val="1"/>
          <c:order val="1"/>
          <c:tx>
            <c:strRef>
              <c:f>Zał.1_WPF_bazowy!$C$42</c:f>
              <c:strCache>
                <c:ptCount val="1"/>
                <c:pt idx="0">
                  <c:v> Spłaty rat kapitałowych kredytów i pożyczek oraz wykup papierów wartościowych</c:v>
                </c:pt>
              </c:strCache>
            </c:strRef>
          </c:tx>
          <c:marker>
            <c:symbol val="none"/>
          </c:marker>
          <c:cat>
            <c:numRef>
              <c:f>Zał.1_WPF_bazowy!$I$9:$R$9</c:f>
              <c:numCache>
                <c:formatCode>0</c:formatCode>
                <c:ptCount val="8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  <c:pt idx="6">
                  <c:v>2024</c:v>
                </c:pt>
                <c:pt idx="7">
                  <c:v>2025</c:v>
                </c:pt>
              </c:numCache>
            </c:numRef>
          </c:cat>
          <c:val>
            <c:numRef>
              <c:f>Zał.1_WPF_bazowy!$I$42:$R$42</c:f>
              <c:numCache>
                <c:formatCode>#,##0.00_ ;[Red]\-#,##0.00\ </c:formatCode>
                <c:ptCount val="8"/>
                <c:pt idx="0">
                  <c:v>1162500</c:v>
                </c:pt>
                <c:pt idx="1">
                  <c:v>2099500</c:v>
                </c:pt>
                <c:pt idx="2">
                  <c:v>2099500</c:v>
                </c:pt>
                <c:pt idx="3">
                  <c:v>2099500</c:v>
                </c:pt>
                <c:pt idx="4">
                  <c:v>1834750</c:v>
                </c:pt>
                <c:pt idx="5">
                  <c:v>1834750</c:v>
                </c:pt>
                <c:pt idx="6">
                  <c:v>1834750</c:v>
                </c:pt>
                <c:pt idx="7">
                  <c:v>1834750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B82D-45D2-9CA6-B698D67C87BA}"/>
            </c:ext>
          </c:extLst>
        </c:ser>
        <c:ser>
          <c:idx val="0"/>
          <c:order val="2"/>
          <c:tx>
            <c:strRef>
              <c:f>Zał.1_WPF_bazowy!$C$26</c:f>
              <c:strCache>
                <c:ptCount val="1"/>
                <c:pt idx="0">
                  <c:v>  wydatki na obsługę długu, w tym:</c:v>
                </c:pt>
              </c:strCache>
            </c:strRef>
          </c:tx>
          <c:marker>
            <c:symbol val="none"/>
          </c:marker>
          <c:cat>
            <c:numRef>
              <c:f>Zał.1_WPF_bazowy!$I$9:$R$9</c:f>
              <c:numCache>
                <c:formatCode>0</c:formatCode>
                <c:ptCount val="8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  <c:pt idx="6">
                  <c:v>2024</c:v>
                </c:pt>
                <c:pt idx="7">
                  <c:v>2025</c:v>
                </c:pt>
              </c:numCache>
            </c:numRef>
          </c:cat>
          <c:val>
            <c:numRef>
              <c:f>Zał.1_WPF_bazowy!$I$26:$R$26</c:f>
              <c:numCache>
                <c:formatCode>#,##0.00_ ;[Red]\-#,##0.00\ </c:formatCode>
                <c:ptCount val="8"/>
                <c:pt idx="0">
                  <c:v>200000</c:v>
                </c:pt>
                <c:pt idx="1">
                  <c:v>365900</c:v>
                </c:pt>
                <c:pt idx="2">
                  <c:v>309000</c:v>
                </c:pt>
                <c:pt idx="3">
                  <c:v>252500</c:v>
                </c:pt>
                <c:pt idx="4">
                  <c:v>200800</c:v>
                </c:pt>
                <c:pt idx="5">
                  <c:v>149900</c:v>
                </c:pt>
                <c:pt idx="6">
                  <c:v>99200</c:v>
                </c:pt>
                <c:pt idx="7">
                  <c:v>49200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B82D-45D2-9CA6-B698D67C87B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310329840"/>
        <c:axId val="1"/>
      </c:lineChart>
      <c:catAx>
        <c:axId val="310329840"/>
        <c:scaling>
          <c:orientation val="minMax"/>
        </c:scaling>
        <c:delete val="0"/>
        <c:axPos val="b"/>
        <c:numFmt formatCode="0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pl-PL"/>
          </a:p>
        </c:txPr>
        <c:crossAx val="1"/>
        <c:crosses val="autoZero"/>
        <c:auto val="1"/>
        <c:lblAlgn val="ctr"/>
        <c:lblOffset val="100"/>
        <c:noMultiLvlLbl val="0"/>
      </c:catAx>
      <c:valAx>
        <c:axId val="1"/>
        <c:scaling>
          <c:orientation val="minMax"/>
        </c:scaling>
        <c:delete val="0"/>
        <c:axPos val="l"/>
        <c:majorGridlines/>
        <c:numFmt formatCode="#,##0_ ;[Red]\-#,##0\ " sourceLinked="0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pl-PL"/>
          </a:p>
        </c:txPr>
        <c:crossAx val="310329840"/>
        <c:crosses val="autoZero"/>
        <c:crossBetween val="between"/>
        <c:dispUnits>
          <c:builtInUnit val="thousands"/>
          <c:dispUnitsLbl>
            <c:txPr>
              <a:bodyPr rot="-5400000" vert="horz"/>
              <a:lstStyle/>
              <a:p>
                <a:pPr algn="ctr">
                  <a:defRPr sz="100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pl-PL"/>
              </a:p>
            </c:txPr>
          </c:dispUnitsLbl>
        </c:dispUnits>
      </c:valAx>
    </c:plotArea>
    <c:legend>
      <c:legendPos val="t"/>
      <c:overlay val="0"/>
      <c:txPr>
        <a:bodyPr/>
        <a:lstStyle/>
        <a:p>
          <a:pPr>
            <a:defRPr sz="775" b="0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pl-PL"/>
        </a:p>
      </c:txPr>
    </c:legend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Zał.1_WPF_bazowy!$C$59</c:f>
              <c:strCache>
                <c:ptCount val="1"/>
                <c:pt idx="0">
                  <c:v>Dopuszczalny wskaźnik spłaty zobowiązań z art. 243 ustawy, po uwzględnieniu ustawowych wyłączeń (planistyczny) </c:v>
                </c:pt>
              </c:strCache>
            </c:strRef>
          </c:tx>
          <c:marker>
            <c:symbol val="none"/>
          </c:marker>
          <c:cat>
            <c:numRef>
              <c:f>Zał.1_WPF_bazowy!$I$9:$R$9</c:f>
              <c:numCache>
                <c:formatCode>0</c:formatCode>
                <c:ptCount val="8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  <c:pt idx="6">
                  <c:v>2024</c:v>
                </c:pt>
                <c:pt idx="7">
                  <c:v>2025</c:v>
                </c:pt>
              </c:numCache>
            </c:numRef>
          </c:cat>
          <c:val>
            <c:numRef>
              <c:f>Zał.1_WPF_bazowy!$I$59:$R$59</c:f>
              <c:numCache>
                <c:formatCode>0.00%;[Red]\-0.00%</c:formatCode>
                <c:ptCount val="8"/>
                <c:pt idx="0">
                  <c:v>0.11990000000000001</c:v>
                </c:pt>
                <c:pt idx="1">
                  <c:v>8.7099999999999997E-2</c:v>
                </c:pt>
                <c:pt idx="2">
                  <c:v>5.5E-2</c:v>
                </c:pt>
                <c:pt idx="3">
                  <c:v>4.3700000000000003E-2</c:v>
                </c:pt>
                <c:pt idx="4">
                  <c:v>4.7500000000000001E-2</c:v>
                </c:pt>
                <c:pt idx="5">
                  <c:v>0.05</c:v>
                </c:pt>
                <c:pt idx="6">
                  <c:v>4.99E-2</c:v>
                </c:pt>
                <c:pt idx="7">
                  <c:v>4.9099999999999998E-2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90F8-4EF8-88FC-BA006408E95A}"/>
            </c:ext>
          </c:extLst>
        </c:ser>
        <c:ser>
          <c:idx val="1"/>
          <c:order val="1"/>
          <c:tx>
            <c:strRef>
              <c:f>Zał.1_WPF_bazowy!$C$54</c:f>
              <c:strCache>
                <c:ptCount val="1"/>
                <c:pt idx="0">
                  <c:v>(R+O) / D (bez wyłączeń)</c:v>
                </c:pt>
              </c:strCache>
            </c:strRef>
          </c:tx>
          <c:marker>
            <c:symbol val="none"/>
          </c:marker>
          <c:cat>
            <c:numRef>
              <c:f>Zał.1_WPF_bazowy!$I$9:$R$9</c:f>
              <c:numCache>
                <c:formatCode>0</c:formatCode>
                <c:ptCount val="8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  <c:pt idx="6">
                  <c:v>2024</c:v>
                </c:pt>
                <c:pt idx="7">
                  <c:v>2025</c:v>
                </c:pt>
              </c:numCache>
            </c:numRef>
          </c:cat>
          <c:val>
            <c:numRef>
              <c:f>Zał.1_WPF_bazowy!$I$54:$R$54</c:f>
              <c:numCache>
                <c:formatCode>0.00%;[Red]\-0.00%</c:formatCode>
                <c:ptCount val="8"/>
                <c:pt idx="0">
                  <c:v>1.55E-2</c:v>
                </c:pt>
                <c:pt idx="1">
                  <c:v>2.9700000000000001E-2</c:v>
                </c:pt>
                <c:pt idx="2">
                  <c:v>3.0200000000000001E-2</c:v>
                </c:pt>
                <c:pt idx="3">
                  <c:v>2.8799999999999999E-2</c:v>
                </c:pt>
                <c:pt idx="4">
                  <c:v>2.47E-2</c:v>
                </c:pt>
                <c:pt idx="5">
                  <c:v>2.4299999999999999E-2</c:v>
                </c:pt>
                <c:pt idx="6">
                  <c:v>2.3699999999999999E-2</c:v>
                </c:pt>
                <c:pt idx="7">
                  <c:v>2.3099999999999999E-2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90F8-4EF8-88FC-BA006408E95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474115544"/>
        <c:axId val="1"/>
      </c:lineChart>
      <c:catAx>
        <c:axId val="474115544"/>
        <c:scaling>
          <c:orientation val="minMax"/>
        </c:scaling>
        <c:delete val="0"/>
        <c:axPos val="b"/>
        <c:numFmt formatCode="0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pl-PL"/>
          </a:p>
        </c:txPr>
        <c:crossAx val="1"/>
        <c:crosses val="autoZero"/>
        <c:auto val="1"/>
        <c:lblAlgn val="ctr"/>
        <c:lblOffset val="100"/>
        <c:noMultiLvlLbl val="0"/>
      </c:catAx>
      <c:valAx>
        <c:axId val="1"/>
        <c:scaling>
          <c:orientation val="minMax"/>
        </c:scaling>
        <c:delete val="0"/>
        <c:axPos val="l"/>
        <c:majorGridlines/>
        <c:numFmt formatCode="0%" sourceLinked="0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pl-PL"/>
          </a:p>
        </c:txPr>
        <c:crossAx val="474115544"/>
        <c:crosses val="autoZero"/>
        <c:crossBetween val="between"/>
      </c:valAx>
    </c:plotArea>
    <c:legend>
      <c:legendPos val="t"/>
      <c:overlay val="0"/>
      <c:txPr>
        <a:bodyPr/>
        <a:lstStyle/>
        <a:p>
          <a:pPr>
            <a:defRPr sz="775" b="0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pl-PL"/>
        </a:p>
      </c:txPr>
    </c:legend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C5418D-C67D-48FE-AC74-585AC00667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382</TotalTime>
  <Pages>6</Pages>
  <Words>1099</Words>
  <Characters>6594</Characters>
  <Application>Microsoft Office Word</Application>
  <DocSecurity>0</DocSecurity>
  <Lines>54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7678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ljaroszewska</dc:creator>
  <cp:lastModifiedBy>ljaroszewska@dzialdowo.um</cp:lastModifiedBy>
  <cp:revision>64</cp:revision>
  <cp:lastPrinted>2015-11-11T13:55:00Z</cp:lastPrinted>
  <dcterms:created xsi:type="dcterms:W3CDTF">2015-11-10T11:58:00Z</dcterms:created>
  <dcterms:modified xsi:type="dcterms:W3CDTF">2017-12-12T07:09:00Z</dcterms:modified>
</cp:coreProperties>
</file>